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6D" w:rsidRDefault="0061536D">
      <w:pPr>
        <w:jc w:val="both"/>
        <w:rPr>
          <w:b/>
          <w:bCs/>
          <w:sz w:val="28"/>
          <w:szCs w:val="28"/>
        </w:rPr>
      </w:pPr>
      <w:r>
        <w:rPr>
          <w:b/>
          <w:bCs/>
          <w:sz w:val="28"/>
          <w:szCs w:val="28"/>
        </w:rPr>
        <w:t>Colegio San Ladislao    201</w:t>
      </w:r>
      <w:r w:rsidR="000746E1">
        <w:rPr>
          <w:b/>
          <w:bCs/>
          <w:sz w:val="28"/>
          <w:szCs w:val="28"/>
        </w:rPr>
        <w:t>7</w:t>
      </w:r>
      <w:r>
        <w:rPr>
          <w:b/>
          <w:bCs/>
          <w:sz w:val="28"/>
          <w:szCs w:val="28"/>
        </w:rPr>
        <w:t xml:space="preserve">                                  </w:t>
      </w:r>
    </w:p>
    <w:p w:rsidR="0061536D" w:rsidRDefault="0061536D">
      <w:pPr>
        <w:jc w:val="both"/>
        <w:rPr>
          <w:b/>
          <w:bCs/>
          <w:sz w:val="28"/>
          <w:szCs w:val="28"/>
        </w:rPr>
      </w:pPr>
    </w:p>
    <w:p w:rsidR="0061536D" w:rsidRDefault="0061536D">
      <w:pPr>
        <w:jc w:val="both"/>
        <w:rPr>
          <w:b/>
          <w:bCs/>
          <w:sz w:val="28"/>
          <w:szCs w:val="28"/>
        </w:rPr>
      </w:pPr>
      <w:r>
        <w:rPr>
          <w:b/>
          <w:bCs/>
          <w:sz w:val="28"/>
          <w:szCs w:val="28"/>
        </w:rPr>
        <w:t xml:space="preserve">Profesor: Juan Emilio </w:t>
      </w:r>
      <w:proofErr w:type="spellStart"/>
      <w:r>
        <w:rPr>
          <w:b/>
          <w:bCs/>
          <w:sz w:val="28"/>
          <w:szCs w:val="28"/>
        </w:rPr>
        <w:t>Satorre</w:t>
      </w:r>
      <w:proofErr w:type="spellEnd"/>
    </w:p>
    <w:p w:rsidR="0061536D" w:rsidRDefault="0061536D">
      <w:pPr>
        <w:jc w:val="both"/>
        <w:rPr>
          <w:b/>
          <w:bCs/>
          <w:sz w:val="28"/>
          <w:szCs w:val="28"/>
        </w:rPr>
      </w:pPr>
    </w:p>
    <w:p w:rsidR="0061536D" w:rsidRDefault="0061536D">
      <w:pPr>
        <w:jc w:val="both"/>
        <w:rPr>
          <w:b/>
          <w:bCs/>
          <w:sz w:val="28"/>
          <w:szCs w:val="28"/>
        </w:rPr>
      </w:pPr>
      <w:r>
        <w:rPr>
          <w:b/>
          <w:bCs/>
          <w:sz w:val="28"/>
          <w:szCs w:val="28"/>
        </w:rPr>
        <w:t>Observatorio de comunicación Cultura y Sociedad</w:t>
      </w:r>
    </w:p>
    <w:p w:rsidR="0061536D" w:rsidRDefault="0061536D">
      <w:pPr>
        <w:autoSpaceDE w:val="0"/>
        <w:jc w:val="both"/>
        <w:rPr>
          <w:rFonts w:eastAsia="ATRotisSemiSans" w:cs="ATRotisSemiSans"/>
          <w:b/>
          <w:bCs/>
          <w:sz w:val="22"/>
          <w:szCs w:val="22"/>
        </w:rPr>
      </w:pPr>
    </w:p>
    <w:p w:rsidR="0061536D" w:rsidRDefault="0061536D">
      <w:pPr>
        <w:autoSpaceDE w:val="0"/>
        <w:jc w:val="both"/>
        <w:rPr>
          <w:rFonts w:eastAsia="ATRotisSemiSans" w:cs="ATRotisSemiSans"/>
          <w:sz w:val="22"/>
          <w:szCs w:val="22"/>
        </w:rPr>
      </w:pPr>
    </w:p>
    <w:p w:rsidR="0061536D" w:rsidRDefault="0061536D">
      <w:r>
        <w:t>A partir del Diseño Curricular para la Educación Secundaria de 5to año, y en base a la materia Observatorio de Comunicación, Cultura y Sociedad.  Se realizo la siguiente planificación:</w:t>
      </w:r>
    </w:p>
    <w:p w:rsidR="0061536D" w:rsidRDefault="0061536D">
      <w:pPr>
        <w:autoSpaceDE w:val="0"/>
        <w:jc w:val="both"/>
        <w:rPr>
          <w:rFonts w:eastAsia="ATRotisSemiSans" w:cs="ATRotisSemiSans"/>
          <w:i/>
          <w:iCs/>
          <w:sz w:val="22"/>
          <w:szCs w:val="22"/>
        </w:rPr>
      </w:pPr>
    </w:p>
    <w:p w:rsidR="0061536D" w:rsidRDefault="0061536D">
      <w:pPr>
        <w:jc w:val="both"/>
      </w:pPr>
    </w:p>
    <w:p w:rsidR="0061536D" w:rsidRDefault="0061536D">
      <w:pPr>
        <w:jc w:val="both"/>
        <w:rPr>
          <w:b/>
          <w:bCs/>
        </w:rPr>
      </w:pPr>
      <w:r>
        <w:rPr>
          <w:b/>
          <w:bCs/>
        </w:rPr>
        <w:t xml:space="preserve">Expectativas de logro: </w:t>
      </w:r>
    </w:p>
    <w:p w:rsidR="0061536D" w:rsidRDefault="0061536D">
      <w:pPr>
        <w:autoSpaceDE w:val="0"/>
        <w:jc w:val="both"/>
        <w:rPr>
          <w:rFonts w:eastAsia="ATRotisSemiSans" w:cs="ATRotisSemiSans"/>
        </w:rPr>
      </w:pPr>
    </w:p>
    <w:p w:rsidR="0061536D" w:rsidRDefault="0061536D">
      <w:pPr>
        <w:autoSpaceDE w:val="0"/>
        <w:jc w:val="both"/>
        <w:rPr>
          <w:rFonts w:eastAsia="ATRotisSemiSans" w:cs="ATRotisSemiSans"/>
        </w:rPr>
      </w:pPr>
      <w:r>
        <w:rPr>
          <w:rFonts w:eastAsia="ATRotisSemiSans" w:cs="ATRotisSemiSans"/>
        </w:rPr>
        <w:t xml:space="preserve">Como lo dice el diseño, el objetivo de la materia es desnaturalizar las </w:t>
      </w:r>
      <w:r w:rsidR="00820401">
        <w:rPr>
          <w:rFonts w:eastAsia="ATRotisSemiSans" w:cs="ATRotisSemiSans"/>
        </w:rPr>
        <w:t>prácticas</w:t>
      </w:r>
      <w:r>
        <w:rPr>
          <w:rFonts w:eastAsia="ATRotisSemiSans" w:cs="ATRotisSemiSans"/>
        </w:rPr>
        <w:t xml:space="preserve"> sociales en las que los jóvenes están inmersos. Para esto, se reflexionara sobre el lenguaje, </w:t>
      </w:r>
      <w:proofErr w:type="gramStart"/>
      <w:r>
        <w:rPr>
          <w:rFonts w:eastAsia="ATRotisSemiSans" w:cs="ATRotisSemiSans"/>
        </w:rPr>
        <w:t>los</w:t>
      </w:r>
      <w:proofErr w:type="gramEnd"/>
      <w:r>
        <w:rPr>
          <w:rFonts w:eastAsia="ATRotisSemiSans" w:cs="ATRotisSemiSans"/>
        </w:rPr>
        <w:t xml:space="preserve"> formas de comunicación y la influencia del entorno sociocultural sobre la sociedad. Al ser un observatorio, la clase es un espacio para que los jóvenes miren, distingan y analicen las significaciones culturales compartidas por un grupo social.  A su vez se debe reconocer en el otro, en quien tiene una cultura diferente, al portador que ha incorporado una socialización en otro contexto sociocultural. En este sentido se promoverá el respeto por la diversidad cultural en todas sus manifestaciones. A su vez se promoverá un análisis </w:t>
      </w:r>
      <w:r w:rsidR="00820401">
        <w:rPr>
          <w:rFonts w:eastAsia="ATRotisSemiSans" w:cs="ATRotisSemiSans"/>
        </w:rPr>
        <w:t>crítico</w:t>
      </w:r>
      <w:r>
        <w:rPr>
          <w:rFonts w:eastAsia="ATRotisSemiSans" w:cs="ATRotisSemiSans"/>
        </w:rPr>
        <w:t xml:space="preserve"> de la realidad intentando promover una participación ciudadana de los alumnos.</w:t>
      </w:r>
    </w:p>
    <w:p w:rsidR="0061536D" w:rsidRDefault="0061536D">
      <w:pPr>
        <w:jc w:val="both"/>
        <w:rPr>
          <w:rFonts w:eastAsia="Times New Roman"/>
          <w:i/>
          <w:iCs/>
          <w:sz w:val="20"/>
          <w:szCs w:val="20"/>
        </w:rPr>
      </w:pPr>
    </w:p>
    <w:p w:rsidR="0061536D" w:rsidRDefault="0061536D">
      <w:pPr>
        <w:jc w:val="both"/>
        <w:rPr>
          <w:rFonts w:eastAsia="Times New Roman"/>
          <w:i/>
          <w:iCs/>
          <w:sz w:val="20"/>
          <w:szCs w:val="20"/>
        </w:rPr>
      </w:pPr>
    </w:p>
    <w:p w:rsidR="0061536D" w:rsidRDefault="0061536D">
      <w:pPr>
        <w:jc w:val="both"/>
        <w:rPr>
          <w:rFonts w:eastAsia="Times New Roman"/>
          <w:i/>
          <w:iCs/>
          <w:sz w:val="20"/>
          <w:szCs w:val="20"/>
        </w:rPr>
      </w:pPr>
      <w:r>
        <w:rPr>
          <w:rFonts w:eastAsia="Times New Roman"/>
          <w:i/>
          <w:iCs/>
          <w:sz w:val="20"/>
          <w:szCs w:val="20"/>
        </w:rPr>
        <w:t>“En este marco un Observatorio de Comunicación, Cultura y Sociedad es un espacio</w:t>
      </w:r>
    </w:p>
    <w:p w:rsidR="0061536D" w:rsidRDefault="0061536D">
      <w:pPr>
        <w:autoSpaceDE w:val="0"/>
        <w:rPr>
          <w:rFonts w:eastAsia="Times New Roman"/>
          <w:i/>
          <w:iCs/>
          <w:sz w:val="20"/>
          <w:szCs w:val="20"/>
        </w:rPr>
      </w:pPr>
      <w:proofErr w:type="gramStart"/>
      <w:r>
        <w:rPr>
          <w:rFonts w:eastAsia="Times New Roman"/>
          <w:i/>
          <w:iCs/>
          <w:sz w:val="20"/>
          <w:szCs w:val="20"/>
        </w:rPr>
        <w:t>organizado</w:t>
      </w:r>
      <w:proofErr w:type="gramEnd"/>
      <w:r>
        <w:rPr>
          <w:rFonts w:eastAsia="Times New Roman"/>
          <w:i/>
          <w:iCs/>
          <w:sz w:val="20"/>
          <w:szCs w:val="20"/>
        </w:rPr>
        <w:t xml:space="preserve"> que produce conocimiento a partir de recopilar, ordenar, analizar e</w:t>
      </w:r>
    </w:p>
    <w:p w:rsidR="0061536D" w:rsidRDefault="0061536D">
      <w:pPr>
        <w:autoSpaceDE w:val="0"/>
        <w:rPr>
          <w:rFonts w:eastAsia="Times New Roman"/>
          <w:i/>
          <w:iCs/>
          <w:sz w:val="20"/>
          <w:szCs w:val="20"/>
        </w:rPr>
      </w:pPr>
      <w:proofErr w:type="gramStart"/>
      <w:r>
        <w:rPr>
          <w:rFonts w:eastAsia="Times New Roman"/>
          <w:i/>
          <w:iCs/>
          <w:sz w:val="20"/>
          <w:szCs w:val="20"/>
        </w:rPr>
        <w:t>interpretar</w:t>
      </w:r>
      <w:proofErr w:type="gramEnd"/>
      <w:r>
        <w:rPr>
          <w:rFonts w:eastAsia="Times New Roman"/>
          <w:i/>
          <w:iCs/>
          <w:sz w:val="20"/>
          <w:szCs w:val="20"/>
        </w:rPr>
        <w:t xml:space="preserve"> los fenómenos emergentes de las expresiones culturales y las interacciones al</w:t>
      </w:r>
    </w:p>
    <w:p w:rsidR="0061536D" w:rsidRDefault="0061536D">
      <w:pPr>
        <w:autoSpaceDE w:val="0"/>
        <w:rPr>
          <w:rFonts w:eastAsia="Times New Roman"/>
          <w:i/>
          <w:iCs/>
          <w:sz w:val="20"/>
          <w:szCs w:val="20"/>
        </w:rPr>
      </w:pPr>
      <w:proofErr w:type="gramStart"/>
      <w:r>
        <w:rPr>
          <w:rFonts w:eastAsia="Times New Roman"/>
          <w:i/>
          <w:iCs/>
          <w:sz w:val="20"/>
          <w:szCs w:val="20"/>
        </w:rPr>
        <w:t>interior</w:t>
      </w:r>
      <w:proofErr w:type="gramEnd"/>
      <w:r>
        <w:rPr>
          <w:rFonts w:eastAsia="Times New Roman"/>
          <w:i/>
          <w:iCs/>
          <w:sz w:val="20"/>
          <w:szCs w:val="20"/>
        </w:rPr>
        <w:t xml:space="preserve"> de las sociedades, vinculadas ellas al accionar comunicacional”.</w:t>
      </w:r>
    </w:p>
    <w:p w:rsidR="0061536D" w:rsidRDefault="0061536D">
      <w:pPr>
        <w:jc w:val="both"/>
        <w:rPr>
          <w:b/>
          <w:bCs/>
          <w:i/>
          <w:iCs/>
          <w:sz w:val="20"/>
          <w:szCs w:val="20"/>
        </w:rPr>
      </w:pPr>
    </w:p>
    <w:p w:rsidR="0061536D" w:rsidRDefault="0061536D">
      <w:pPr>
        <w:jc w:val="both"/>
        <w:rPr>
          <w:b/>
          <w:bCs/>
        </w:rPr>
      </w:pPr>
    </w:p>
    <w:p w:rsidR="0061536D" w:rsidRDefault="0061536D">
      <w:pPr>
        <w:jc w:val="both"/>
        <w:rPr>
          <w:b/>
          <w:bCs/>
        </w:rPr>
      </w:pPr>
      <w:r>
        <w:rPr>
          <w:b/>
          <w:bCs/>
        </w:rPr>
        <w:t xml:space="preserve">Estrategias: </w:t>
      </w:r>
    </w:p>
    <w:p w:rsidR="0061536D" w:rsidRDefault="00955D63">
      <w:pPr>
        <w:jc w:val="both"/>
        <w:rPr>
          <w:rFonts w:eastAsia="ATRotisSemiSans" w:cs="ATRotisSemiSans"/>
          <w:sz w:val="22"/>
          <w:szCs w:val="22"/>
        </w:rPr>
      </w:pPr>
      <w:r>
        <w:t>Se trabajará</w:t>
      </w:r>
      <w:r w:rsidR="0061536D">
        <w:t xml:space="preserve"> con el material de la Editorial </w:t>
      </w:r>
      <w:proofErr w:type="spellStart"/>
      <w:r w:rsidR="0061536D">
        <w:t>Maipue</w:t>
      </w:r>
      <w:proofErr w:type="spellEnd"/>
      <w:r w:rsidR="0061536D">
        <w:t>, sobre Comunicación Cultura y Sociedad. A su vez se trataran en clase los temas que van surgiendo en la agenda Nacional.</w:t>
      </w:r>
      <w:r w:rsidR="0061536D">
        <w:rPr>
          <w:rFonts w:eastAsia="ATRotisSemiSans" w:cs="ATRotisSemiSans"/>
          <w:sz w:val="22"/>
          <w:szCs w:val="22"/>
        </w:rPr>
        <w:t xml:space="preserve"> La materia cuestionara e intentara </w:t>
      </w:r>
      <w:proofErr w:type="spellStart"/>
      <w:r w:rsidR="0061536D">
        <w:rPr>
          <w:rFonts w:eastAsia="ATRotisSemiSans" w:cs="ATRotisSemiSans"/>
          <w:sz w:val="22"/>
          <w:szCs w:val="22"/>
        </w:rPr>
        <w:t>deconstruir</w:t>
      </w:r>
      <w:proofErr w:type="spellEnd"/>
      <w:r w:rsidR="0061536D">
        <w:rPr>
          <w:rFonts w:eastAsia="ATRotisSemiSans" w:cs="ATRotisSemiSans"/>
          <w:sz w:val="22"/>
          <w:szCs w:val="22"/>
        </w:rPr>
        <w:t xml:space="preserve"> el sentido común, para reemplazarlo por los conceptos teóricos que explican a la sociedad. A su vez se hará un recorrido histórico, en donde se pensaran el rol de las nuevas tecnologías  y los cambios que atraviesan la revolución digital de los últimos 30 años.</w:t>
      </w:r>
    </w:p>
    <w:p w:rsidR="0061536D" w:rsidRDefault="0061536D">
      <w:pPr>
        <w:jc w:val="both"/>
        <w:rPr>
          <w:rFonts w:eastAsia="ATRotisSemiSans" w:cs="ATRotisSemiSans"/>
          <w:sz w:val="22"/>
          <w:szCs w:val="22"/>
        </w:rPr>
      </w:pPr>
      <w:r>
        <w:rPr>
          <w:rFonts w:eastAsia="ATRotisSemiSans" w:cs="ATRotisSemiSans"/>
          <w:sz w:val="22"/>
          <w:szCs w:val="22"/>
        </w:rPr>
        <w:t xml:space="preserve">Para poder abordar las temáticas de cada unidad, se realizara una investigación social por trimestre. El tema a  investigar </w:t>
      </w:r>
      <w:r w:rsidR="00820401">
        <w:rPr>
          <w:rFonts w:eastAsia="ATRotisSemiSans" w:cs="ATRotisSemiSans"/>
          <w:sz w:val="22"/>
          <w:szCs w:val="22"/>
        </w:rPr>
        <w:t>será</w:t>
      </w:r>
      <w:r>
        <w:rPr>
          <w:rFonts w:eastAsia="ATRotisSemiSans" w:cs="ATRotisSemiSans"/>
          <w:sz w:val="22"/>
          <w:szCs w:val="22"/>
        </w:rPr>
        <w:t xml:space="preserve"> elegido por los alumnos dentro de las opciones de cada unidad como lo marca el diseño curricular. A su vez se hará una introducción, en base al tipo de investigación a los diferentes métodos de investigación social.</w:t>
      </w:r>
    </w:p>
    <w:p w:rsidR="0061536D" w:rsidRDefault="0061536D">
      <w:pPr>
        <w:jc w:val="both"/>
        <w:rPr>
          <w:rFonts w:eastAsia="ATRotisSemiSans" w:cs="ATRotisSemiSans"/>
          <w:sz w:val="22"/>
          <w:szCs w:val="22"/>
        </w:rPr>
      </w:pPr>
    </w:p>
    <w:p w:rsidR="0061536D" w:rsidRDefault="0061536D">
      <w:pPr>
        <w:jc w:val="both"/>
        <w:rPr>
          <w:rFonts w:eastAsia="ATRotisSemiSans" w:cs="ATRotisSemiSans"/>
          <w:i/>
          <w:iCs/>
        </w:rPr>
      </w:pPr>
    </w:p>
    <w:p w:rsidR="0061536D" w:rsidRDefault="0061536D">
      <w:pPr>
        <w:autoSpaceDE w:val="0"/>
        <w:jc w:val="both"/>
        <w:rPr>
          <w:rFonts w:eastAsia="ATRotisSemiSans" w:cs="ATRotisSemiSans"/>
          <w:b/>
          <w:bCs/>
        </w:rPr>
      </w:pPr>
      <w:r>
        <w:rPr>
          <w:rFonts w:eastAsia="ATRotisSemiSans" w:cs="ATRotisSemiSans"/>
          <w:i/>
          <w:iCs/>
        </w:rPr>
        <w:t xml:space="preserve"> </w:t>
      </w:r>
      <w:r>
        <w:rPr>
          <w:rFonts w:eastAsia="ATRotisSemiSans" w:cs="ATRotisSemiSans"/>
          <w:b/>
          <w:bCs/>
        </w:rPr>
        <w:t>Programa</w:t>
      </w:r>
    </w:p>
    <w:p w:rsidR="0061536D" w:rsidRDefault="0061536D">
      <w:pPr>
        <w:autoSpaceDE w:val="0"/>
        <w:jc w:val="both"/>
        <w:rPr>
          <w:rFonts w:eastAsia="ATRotisSemiSans" w:cs="ATRotisSemiSans"/>
        </w:rPr>
      </w:pPr>
    </w:p>
    <w:p w:rsidR="0061536D" w:rsidRDefault="0061536D">
      <w:pPr>
        <w:autoSpaceDE w:val="0"/>
        <w:jc w:val="both"/>
        <w:rPr>
          <w:rFonts w:eastAsia="ATRotisSemiSans" w:cs="ATRotisSemiSans"/>
        </w:rPr>
      </w:pPr>
      <w:r>
        <w:rPr>
          <w:rFonts w:eastAsia="ATRotisSemiSans" w:cs="ATRotisSemiSans"/>
        </w:rPr>
        <w:t xml:space="preserve">En base a la división de la materia en unidades, se trabajara con los alumnos de a dos a tres unidades por Trimestre. Privilegiando la participación de los alumnos en la temática con el acompañamiento teórico de autores reconocidos en la </w:t>
      </w:r>
      <w:r w:rsidR="00955D63">
        <w:rPr>
          <w:rFonts w:eastAsia="ATRotisSemiSans" w:cs="ATRotisSemiSans"/>
        </w:rPr>
        <w:t>ciencias sociales. Se proyectará</w:t>
      </w:r>
      <w:r>
        <w:rPr>
          <w:rFonts w:eastAsia="ATRotisSemiSans" w:cs="ATRotisSemiSans"/>
        </w:rPr>
        <w:t xml:space="preserve"> una película por unidad para usar como disparador para las temáticas de </w:t>
      </w:r>
      <w:proofErr w:type="gramStart"/>
      <w:r>
        <w:rPr>
          <w:rFonts w:eastAsia="ATRotisSemiSans" w:cs="ATRotisSemiSans"/>
        </w:rPr>
        <w:t>la mismas</w:t>
      </w:r>
      <w:proofErr w:type="gramEnd"/>
      <w:r>
        <w:rPr>
          <w:rFonts w:eastAsia="ATRotisSemiSans" w:cs="ATRotisSemiSans"/>
        </w:rPr>
        <w:t>.</w:t>
      </w:r>
    </w:p>
    <w:p w:rsidR="0061536D" w:rsidRDefault="0061536D">
      <w:pPr>
        <w:autoSpaceDE w:val="0"/>
        <w:jc w:val="both"/>
        <w:rPr>
          <w:rFonts w:eastAsia="ATRotisSemiSans" w:cs="ATRotisSemiSans"/>
        </w:rPr>
      </w:pPr>
    </w:p>
    <w:p w:rsidR="0061536D" w:rsidRDefault="0061536D">
      <w:pPr>
        <w:autoSpaceDE w:val="0"/>
        <w:jc w:val="both"/>
        <w:rPr>
          <w:rFonts w:eastAsia="ATRotisSemiSerif-Bold-SC700" w:cs="ATRotisSemiSerif-Bold-SC700"/>
          <w:b/>
          <w:bCs/>
        </w:rPr>
      </w:pPr>
      <w:r>
        <w:rPr>
          <w:rFonts w:eastAsia="ATRotisSemiSerif-Bold-SC700" w:cs="ATRotisSemiSerif-Bold-SC700"/>
          <w:b/>
          <w:bCs/>
          <w:i/>
          <w:iCs/>
          <w:sz w:val="28"/>
          <w:szCs w:val="28"/>
        </w:rPr>
        <w:t>U</w:t>
      </w:r>
      <w:r>
        <w:rPr>
          <w:rFonts w:eastAsia="ATRotisSemiSerif-Bold-SC700" w:cs="ATRotisSemiSerif-Bold-SC700"/>
          <w:b/>
          <w:bCs/>
          <w:i/>
          <w:iCs/>
          <w:sz w:val="20"/>
          <w:szCs w:val="20"/>
        </w:rPr>
        <w:t xml:space="preserve">nidad </w:t>
      </w:r>
      <w:r>
        <w:rPr>
          <w:rFonts w:eastAsia="ATRotisSemiSerif-Bold-SC700" w:cs="ATRotisSemiSerif-Bold-SC700"/>
          <w:b/>
          <w:bCs/>
          <w:i/>
          <w:iCs/>
          <w:sz w:val="28"/>
          <w:szCs w:val="28"/>
        </w:rPr>
        <w:t xml:space="preserve">1.  </w:t>
      </w:r>
      <w:r>
        <w:rPr>
          <w:rFonts w:eastAsia="ATRotisSemiSerif-Bold-SC700" w:cs="ATRotisSemiSerif-Bold-SC700"/>
          <w:b/>
          <w:bCs/>
        </w:rPr>
        <w:t xml:space="preserve">Modos de organización social. </w:t>
      </w:r>
    </w:p>
    <w:p w:rsidR="0061536D" w:rsidRDefault="0061536D">
      <w:pPr>
        <w:numPr>
          <w:ilvl w:val="0"/>
          <w:numId w:val="1"/>
        </w:numPr>
        <w:autoSpaceDE w:val="0"/>
        <w:rPr>
          <w:rFonts w:ascii="ATRotisSemiSans-Italic" w:eastAsia="ATRotisSemiSans-Italic" w:hAnsi="ATRotisSemiSans-Italic" w:cs="ATRotisSemiSans-Italic"/>
          <w:sz w:val="22"/>
          <w:szCs w:val="22"/>
        </w:rPr>
      </w:pPr>
      <w:proofErr w:type="spellStart"/>
      <w:r>
        <w:rPr>
          <w:rFonts w:ascii="ATRotisSemiSans-Italic" w:eastAsia="ATRotisSemiSans-Italic" w:hAnsi="ATRotisSemiSans-Italic" w:cs="ATRotisSemiSans-Italic"/>
          <w:sz w:val="22"/>
          <w:szCs w:val="22"/>
        </w:rPr>
        <w:t>Geertz</w:t>
      </w:r>
      <w:proofErr w:type="spellEnd"/>
      <w:r>
        <w:rPr>
          <w:rFonts w:ascii="ATRotisSemiSans-Italic" w:eastAsia="ATRotisSemiSans-Italic" w:hAnsi="ATRotisSemiSans-Italic" w:cs="ATRotisSemiSans-Italic"/>
          <w:sz w:val="22"/>
          <w:szCs w:val="22"/>
        </w:rPr>
        <w:t>, Antropología simbólica.</w:t>
      </w:r>
    </w:p>
    <w:p w:rsidR="0061536D" w:rsidRDefault="0061536D">
      <w:pPr>
        <w:numPr>
          <w:ilvl w:val="0"/>
          <w:numId w:val="1"/>
        </w:numPr>
        <w:autoSpaceDE w:val="0"/>
        <w:rPr>
          <w:rFonts w:ascii="ATRotisSemiSans-Italic" w:eastAsia="ATRotisSemiSans-Italic" w:hAnsi="ATRotisSemiSans-Italic" w:cs="ATRotisSemiSans-Italic"/>
          <w:sz w:val="22"/>
          <w:szCs w:val="22"/>
        </w:rPr>
      </w:pPr>
      <w:r>
        <w:rPr>
          <w:rFonts w:ascii="ATRotisSemiSans-Italic" w:eastAsia="ATRotisSemiSans-Italic" w:hAnsi="ATRotisSemiSans-Italic" w:cs="ATRotisSemiSans-Italic"/>
          <w:sz w:val="22"/>
          <w:szCs w:val="22"/>
        </w:rPr>
        <w:t>El ser humano como creador de Cultura</w:t>
      </w:r>
    </w:p>
    <w:p w:rsidR="00820401" w:rsidRDefault="0061536D">
      <w:pPr>
        <w:numPr>
          <w:ilvl w:val="0"/>
          <w:numId w:val="1"/>
        </w:numPr>
        <w:autoSpaceDE w:val="0"/>
        <w:jc w:val="both"/>
        <w:rPr>
          <w:rFonts w:ascii="ATRotisSemiSans-Italic" w:eastAsia="ATRotisSemiSans-Italic" w:hAnsi="ATRotisSemiSans-Italic" w:cs="ATRotisSemiSans-Italic"/>
          <w:sz w:val="22"/>
          <w:szCs w:val="22"/>
        </w:rPr>
      </w:pPr>
      <w:r>
        <w:rPr>
          <w:rFonts w:ascii="ATRotisSemiSans-Italic" w:eastAsia="ATRotisSemiSans-Italic" w:hAnsi="ATRotisSemiSans-Italic" w:cs="ATRotisSemiSans-Italic"/>
          <w:sz w:val="22"/>
          <w:szCs w:val="22"/>
        </w:rPr>
        <w:t>Comunicación: Modelo Lineal, comunicación como una relación</w:t>
      </w:r>
    </w:p>
    <w:p w:rsidR="0061536D" w:rsidRDefault="00820401">
      <w:pPr>
        <w:numPr>
          <w:ilvl w:val="0"/>
          <w:numId w:val="1"/>
        </w:numPr>
        <w:autoSpaceDE w:val="0"/>
        <w:jc w:val="both"/>
        <w:rPr>
          <w:rFonts w:ascii="ATRotisSemiSans-Italic" w:eastAsia="ATRotisSemiSans-Italic" w:hAnsi="ATRotisSemiSans-Italic" w:cs="ATRotisSemiSans-Italic"/>
          <w:sz w:val="22"/>
          <w:szCs w:val="22"/>
        </w:rPr>
      </w:pPr>
      <w:r>
        <w:rPr>
          <w:rFonts w:ascii="ATRotisSemiSans-Italic" w:eastAsia="ATRotisSemiSans-Italic" w:hAnsi="ATRotisSemiSans-Italic" w:cs="ATRotisSemiSans-Italic"/>
          <w:sz w:val="22"/>
          <w:szCs w:val="22"/>
        </w:rPr>
        <w:t>La Sociedad como ámbito jurídico en donde se dan las interacciones sociales</w:t>
      </w:r>
      <w:r w:rsidR="0061536D">
        <w:rPr>
          <w:rFonts w:ascii="ATRotisSemiSans-Italic" w:eastAsia="ATRotisSemiSans-Italic" w:hAnsi="ATRotisSemiSans-Italic" w:cs="ATRotisSemiSans-Italic"/>
          <w:sz w:val="22"/>
          <w:szCs w:val="22"/>
        </w:rPr>
        <w:t xml:space="preserve"> </w:t>
      </w:r>
    </w:p>
    <w:p w:rsidR="0061536D" w:rsidRDefault="0061536D">
      <w:pPr>
        <w:autoSpaceDE w:val="0"/>
        <w:jc w:val="both"/>
        <w:rPr>
          <w:rFonts w:eastAsia="ATRotisSemiSerif-Bold-SC700" w:cs="ATRotisSemiSerif-Bold-SC700"/>
        </w:rPr>
      </w:pPr>
    </w:p>
    <w:p w:rsidR="0061536D" w:rsidRDefault="0061536D">
      <w:pPr>
        <w:autoSpaceDE w:val="0"/>
        <w:jc w:val="both"/>
        <w:rPr>
          <w:rFonts w:eastAsia="ATRotisSemiSerif-Bold-SC700" w:cs="ATRotisSemiSerif-Bold-SC700"/>
          <w:i/>
          <w:iCs/>
        </w:rPr>
      </w:pPr>
    </w:p>
    <w:p w:rsidR="0061536D" w:rsidRDefault="0061536D">
      <w:pPr>
        <w:autoSpaceDE w:val="0"/>
        <w:jc w:val="both"/>
        <w:rPr>
          <w:rFonts w:eastAsia="ATRotisSemiSerif-Bold-SC700" w:cs="ATRotisSemiSerif-Bold-SC700"/>
          <w:b/>
          <w:bCs/>
        </w:rPr>
      </w:pPr>
      <w:r>
        <w:rPr>
          <w:rFonts w:eastAsia="ATRotisSemiSerif-Bold-SC700" w:cs="ATRotisSemiSerif-Bold-SC700"/>
          <w:b/>
          <w:bCs/>
          <w:i/>
          <w:iCs/>
        </w:rPr>
        <w:t xml:space="preserve">Unidad 2. </w:t>
      </w:r>
      <w:r>
        <w:rPr>
          <w:rFonts w:eastAsia="ATRotisSemiSerif-Bold-SC700" w:cs="ATRotisSemiSerif-Bold-SC700"/>
        </w:rPr>
        <w:t xml:space="preserve"> </w:t>
      </w:r>
      <w:r>
        <w:rPr>
          <w:rFonts w:eastAsia="ATRotisSemiSerif-Bold-SC700" w:cs="ATRotisSemiSerif-Bold-SC700"/>
          <w:b/>
          <w:bCs/>
        </w:rPr>
        <w:t>Cultura y comunicación en la Vida Cotidiana</w:t>
      </w:r>
    </w:p>
    <w:p w:rsidR="0061536D" w:rsidRDefault="0061536D">
      <w:pPr>
        <w:autoSpaceDE w:val="0"/>
        <w:jc w:val="both"/>
        <w:rPr>
          <w:rFonts w:eastAsia="ATRotisSemiSerif-Bold-SC700" w:cs="ATRotisSemiSerif-Bold-SC700"/>
        </w:rPr>
      </w:pPr>
      <w:r>
        <w:rPr>
          <w:rFonts w:eastAsia="ATRotisSemiSerif-Bold-SC700" w:cs="ATRotisSemiSerif-Bold-SC700"/>
        </w:rPr>
        <w:t xml:space="preserve">Símbolos, icono e </w:t>
      </w:r>
      <w:r w:rsidR="00820401">
        <w:rPr>
          <w:rFonts w:eastAsia="ATRotisSemiSerif-Bold-SC700" w:cs="ATRotisSemiSerif-Bold-SC700"/>
        </w:rPr>
        <w:t>índice</w:t>
      </w:r>
      <w:r>
        <w:rPr>
          <w:rFonts w:eastAsia="ATRotisSemiSerif-Bold-SC700" w:cs="ATRotisSemiSerif-Bold-SC700"/>
        </w:rPr>
        <w:t>. Saussure Significante y significado</w:t>
      </w:r>
    </w:p>
    <w:p w:rsidR="0061536D" w:rsidRDefault="0061536D">
      <w:pPr>
        <w:autoSpaceDE w:val="0"/>
        <w:jc w:val="both"/>
        <w:rPr>
          <w:rFonts w:eastAsia="ATRotisSemiSerif-Bold-SC700" w:cs="ATRotisSemiSerif-Bold-SC700"/>
        </w:rPr>
      </w:pPr>
      <w:r>
        <w:rPr>
          <w:rFonts w:eastAsia="ATRotisSemiSerif-Bold-SC700" w:cs="ATRotisSemiSerif-Bold-SC700"/>
        </w:rPr>
        <w:t xml:space="preserve">Identidades Juveniles, Tribus urbanas. </w:t>
      </w:r>
    </w:p>
    <w:p w:rsidR="0061536D" w:rsidRDefault="0061536D">
      <w:pPr>
        <w:autoSpaceDE w:val="0"/>
        <w:jc w:val="both"/>
        <w:rPr>
          <w:rFonts w:eastAsia="ATRotisSemiSerif-Bold-SC700" w:cs="ATRotisSemiSerif-Bold-SC700"/>
        </w:rPr>
      </w:pPr>
      <w:r>
        <w:rPr>
          <w:rFonts w:eastAsia="ATRotisSemiSerif-Bold-SC700" w:cs="ATRotisSemiSerif-Bold-SC700"/>
        </w:rPr>
        <w:t>Formas de distinción social (</w:t>
      </w:r>
      <w:proofErr w:type="spellStart"/>
      <w:r>
        <w:rPr>
          <w:rFonts w:eastAsia="ATRotisSemiSerif-Bold-SC700" w:cs="ATRotisSemiSerif-Bold-SC700"/>
        </w:rPr>
        <w:t>Bourdie</w:t>
      </w:r>
      <w:r w:rsidR="00955D63">
        <w:rPr>
          <w:rFonts w:eastAsia="ATRotisSemiSerif-Bold-SC700" w:cs="ATRotisSemiSerif-Bold-SC700"/>
        </w:rPr>
        <w:t>u</w:t>
      </w:r>
      <w:proofErr w:type="spellEnd"/>
      <w:r>
        <w:rPr>
          <w:rFonts w:eastAsia="ATRotisSemiSerif-Bold-SC700" w:cs="ATRotisSemiSerif-Bold-SC700"/>
        </w:rPr>
        <w:t>). Otredad (</w:t>
      </w:r>
      <w:proofErr w:type="spellStart"/>
      <w:r>
        <w:rPr>
          <w:rFonts w:eastAsia="ATRotisSemiSerif-Bold-SC700" w:cs="ATRotisSemiSerif-Bold-SC700"/>
        </w:rPr>
        <w:t>Todorov</w:t>
      </w:r>
      <w:proofErr w:type="spellEnd"/>
      <w:r>
        <w:rPr>
          <w:rFonts w:eastAsia="ATRotisSemiSerif-Bold-SC700" w:cs="ATRotisSemiSerif-Bold-SC700"/>
        </w:rPr>
        <w:t>)</w:t>
      </w:r>
    </w:p>
    <w:p w:rsidR="0061536D" w:rsidRDefault="0061536D">
      <w:pPr>
        <w:autoSpaceDE w:val="0"/>
        <w:jc w:val="both"/>
        <w:rPr>
          <w:rFonts w:eastAsia="ATRotisSemiSerif-Bold-SC700" w:cs="ATRotisSemiSerif-Bold-SC700"/>
          <w:b/>
          <w:bCs/>
          <w:i/>
          <w:iCs/>
        </w:rPr>
      </w:pPr>
    </w:p>
    <w:p w:rsidR="0061536D" w:rsidRDefault="0061536D">
      <w:pPr>
        <w:autoSpaceDE w:val="0"/>
        <w:jc w:val="both"/>
        <w:rPr>
          <w:rFonts w:eastAsia="ATRotisSemiSerif-Bold-SC700" w:cs="ATRotisSemiSerif-Bold-SC700"/>
          <w:b/>
          <w:bCs/>
        </w:rPr>
      </w:pPr>
      <w:r>
        <w:rPr>
          <w:rFonts w:eastAsia="ATRotisSemiSerif-Bold-SC700" w:cs="ATRotisSemiSerif-Bold-SC700"/>
          <w:b/>
          <w:bCs/>
          <w:i/>
          <w:iCs/>
        </w:rPr>
        <w:t xml:space="preserve">Unidad 3. </w:t>
      </w:r>
      <w:r w:rsidR="00817CB3">
        <w:rPr>
          <w:rFonts w:eastAsia="ATRotisSemiSerif-Bold-SC700" w:cs="ATRotisSemiSerif-Bold-SC700"/>
          <w:b/>
          <w:bCs/>
        </w:rPr>
        <w:t xml:space="preserve">Identidades de género y Modelos </w:t>
      </w:r>
      <w:proofErr w:type="spellStart"/>
      <w:r w:rsidR="00817CB3">
        <w:rPr>
          <w:rFonts w:eastAsia="ATRotisSemiSerif-Bold-SC700" w:cs="ATRotisSemiSerif-Bold-SC700"/>
          <w:b/>
          <w:bCs/>
        </w:rPr>
        <w:t>media</w:t>
      </w:r>
      <w:r>
        <w:rPr>
          <w:rFonts w:eastAsia="ATRotisSemiSerif-Bold-SC700" w:cs="ATRotisSemiSerif-Bold-SC700"/>
          <w:b/>
          <w:bCs/>
        </w:rPr>
        <w:t>ticos</w:t>
      </w:r>
      <w:proofErr w:type="spellEnd"/>
    </w:p>
    <w:p w:rsidR="0061536D" w:rsidRDefault="0061536D">
      <w:pPr>
        <w:autoSpaceDE w:val="0"/>
        <w:jc w:val="both"/>
        <w:rPr>
          <w:rFonts w:eastAsia="ATRotisSemiSans" w:cs="ATRotisSemiSans"/>
        </w:rPr>
      </w:pPr>
      <w:r>
        <w:rPr>
          <w:rFonts w:eastAsia="ATRotisSemiSans" w:cs="ATRotisSemiSans"/>
        </w:rPr>
        <w:t xml:space="preserve">-Moda, publicidad, identidades étnicas. </w:t>
      </w:r>
      <w:proofErr w:type="spellStart"/>
      <w:r>
        <w:rPr>
          <w:rFonts w:eastAsia="ATRotisSemiSans" w:cs="ATRotisSemiSans"/>
        </w:rPr>
        <w:t>Margulis</w:t>
      </w:r>
      <w:proofErr w:type="spellEnd"/>
      <w:r>
        <w:rPr>
          <w:rFonts w:eastAsia="ATRotisSemiSans" w:cs="ATRotisSemiSans"/>
        </w:rPr>
        <w:t xml:space="preserve">. </w:t>
      </w:r>
    </w:p>
    <w:p w:rsidR="0061536D" w:rsidRDefault="0061536D">
      <w:pPr>
        <w:autoSpaceDE w:val="0"/>
        <w:jc w:val="both"/>
        <w:rPr>
          <w:rFonts w:eastAsia="ATRotisSemiSans" w:cs="ATRotisSemiSans"/>
        </w:rPr>
      </w:pPr>
      <w:r>
        <w:rPr>
          <w:rFonts w:eastAsia="ATRotisSemiSans" w:cs="ATRotisSemiSans"/>
        </w:rPr>
        <w:t xml:space="preserve">Campañas publicitarias </w:t>
      </w:r>
      <w:proofErr w:type="spellStart"/>
      <w:r>
        <w:rPr>
          <w:rFonts w:eastAsia="ATRotisSemiSans" w:cs="ATRotisSemiSans"/>
        </w:rPr>
        <w:t>Noemi</w:t>
      </w:r>
      <w:proofErr w:type="spellEnd"/>
      <w:r>
        <w:rPr>
          <w:rFonts w:eastAsia="ATRotisSemiSans" w:cs="ATRotisSemiSans"/>
        </w:rPr>
        <w:t xml:space="preserve"> Klein.</w:t>
      </w:r>
    </w:p>
    <w:p w:rsidR="0061536D" w:rsidRDefault="0061536D">
      <w:pPr>
        <w:autoSpaceDE w:val="0"/>
        <w:jc w:val="both"/>
        <w:rPr>
          <w:rFonts w:eastAsia="ATRotisSemiSans" w:cs="ATRotisSemiSans"/>
        </w:rPr>
      </w:pPr>
      <w:r>
        <w:rPr>
          <w:rFonts w:eastAsia="ATRotisSemiSans" w:cs="ATRotisSemiSans"/>
        </w:rPr>
        <w:t>Historia de la publicidad</w:t>
      </w:r>
    </w:p>
    <w:p w:rsidR="0061536D" w:rsidRDefault="0061536D">
      <w:pPr>
        <w:autoSpaceDE w:val="0"/>
        <w:jc w:val="both"/>
        <w:rPr>
          <w:rFonts w:eastAsia="ATRotisSemiSerif-Bold-SC700" w:cs="ATRotisSemiSerif-Bold-SC700"/>
          <w:b/>
          <w:bCs/>
        </w:rPr>
      </w:pPr>
    </w:p>
    <w:p w:rsidR="0061536D" w:rsidRDefault="0061536D">
      <w:pPr>
        <w:autoSpaceDE w:val="0"/>
        <w:jc w:val="both"/>
        <w:rPr>
          <w:rFonts w:eastAsia="ATRotisSemiSerif-Bold-SC700" w:cs="ATRotisSemiSerif-Bold-SC700"/>
        </w:rPr>
      </w:pPr>
      <w:r>
        <w:rPr>
          <w:rFonts w:eastAsia="ATRotisSemiSerif-Bold-SC700" w:cs="ATRotisSemiSerif-Bold-SC700"/>
          <w:b/>
          <w:bCs/>
          <w:sz w:val="28"/>
          <w:szCs w:val="28"/>
        </w:rPr>
        <w:t>U</w:t>
      </w:r>
      <w:r>
        <w:rPr>
          <w:rFonts w:eastAsia="ATRotisSemiSerif-Bold-SC700" w:cs="ATRotisSemiSerif-Bold-SC700"/>
          <w:b/>
          <w:bCs/>
          <w:sz w:val="20"/>
          <w:szCs w:val="20"/>
        </w:rPr>
        <w:t xml:space="preserve">nidad </w:t>
      </w:r>
      <w:r>
        <w:rPr>
          <w:rFonts w:eastAsia="ATRotisSemiSerif-Bold-SC700" w:cs="ATRotisSemiSerif-Bold-SC700"/>
          <w:b/>
          <w:bCs/>
          <w:sz w:val="28"/>
          <w:szCs w:val="28"/>
        </w:rPr>
        <w:t xml:space="preserve">4. </w:t>
      </w:r>
      <w:r>
        <w:rPr>
          <w:rFonts w:eastAsia="ATRotisSemiSerif-Bold-SC700" w:cs="ATRotisSemiSerif-Bold-SC700"/>
        </w:rPr>
        <w:t>Medios de comunicación</w:t>
      </w:r>
    </w:p>
    <w:p w:rsidR="0061536D" w:rsidRDefault="0061536D">
      <w:pPr>
        <w:autoSpaceDE w:val="0"/>
        <w:jc w:val="both"/>
        <w:rPr>
          <w:rFonts w:eastAsia="ATRotisSemiSerif-Bold-SC700" w:cs="ATRotisSemiSerif-Bold-SC700"/>
        </w:rPr>
      </w:pPr>
      <w:r>
        <w:rPr>
          <w:rFonts w:eastAsia="ATRotisSemiSerif-Bold-SC700" w:cs="ATRotisSemiSerif-Bold-SC700"/>
        </w:rPr>
        <w:t xml:space="preserve">-¿Cual es su influencia? Radio, </w:t>
      </w:r>
      <w:r w:rsidR="00955D63">
        <w:rPr>
          <w:rFonts w:eastAsia="ATRotisSemiSerif-Bold-SC700" w:cs="ATRotisSemiSerif-Bold-SC700"/>
        </w:rPr>
        <w:t>Televisión, Internet, Medios grá</w:t>
      </w:r>
      <w:r>
        <w:rPr>
          <w:rFonts w:eastAsia="ATRotisSemiSerif-Bold-SC700" w:cs="ATRotisSemiSerif-Bold-SC700"/>
        </w:rPr>
        <w:t>ficos.</w:t>
      </w:r>
    </w:p>
    <w:p w:rsidR="0061536D" w:rsidRDefault="0061536D">
      <w:pPr>
        <w:autoSpaceDE w:val="0"/>
        <w:jc w:val="both"/>
        <w:rPr>
          <w:rFonts w:eastAsia="ATRotisSemiSerif-Bold-SC700" w:cs="ATRotisSemiSerif-Bold-SC700"/>
        </w:rPr>
      </w:pPr>
      <w:r>
        <w:rPr>
          <w:rFonts w:eastAsia="ATRotisSemiSerif-Bold-SC700" w:cs="ATRotisSemiSerif-Bold-SC700"/>
        </w:rPr>
        <w:t>-Opinión publica. Intereses y disputas mediáticas. Conflictos sociales y los medios de comunicación. Lenguaje en los medios de comunicación.</w:t>
      </w:r>
    </w:p>
    <w:p w:rsidR="0061536D" w:rsidRDefault="0061536D">
      <w:pPr>
        <w:autoSpaceDE w:val="0"/>
        <w:jc w:val="both"/>
        <w:rPr>
          <w:rFonts w:eastAsia="ATRotisSemiSerif-Bold-SC700" w:cs="ATRotisSemiSerif-Bold-SC700"/>
          <w:i/>
          <w:iCs/>
          <w:sz w:val="20"/>
          <w:szCs w:val="20"/>
        </w:rPr>
      </w:pPr>
    </w:p>
    <w:p w:rsidR="0061536D" w:rsidRDefault="0061536D">
      <w:pPr>
        <w:autoSpaceDE w:val="0"/>
        <w:jc w:val="both"/>
        <w:rPr>
          <w:rFonts w:eastAsia="ATRotisSemiSerif-Bold-SC700" w:cs="ATRotisSemiSerif-Bold-SC700"/>
        </w:rPr>
      </w:pPr>
      <w:r>
        <w:rPr>
          <w:rFonts w:eastAsia="ATRotisSemiSerif-Bold-SC700" w:cs="ATRotisSemiSerif-Bold-SC700"/>
          <w:b/>
          <w:bCs/>
          <w:i/>
          <w:iCs/>
          <w:sz w:val="28"/>
          <w:szCs w:val="28"/>
        </w:rPr>
        <w:t>U</w:t>
      </w:r>
      <w:r>
        <w:rPr>
          <w:rFonts w:eastAsia="ATRotisSemiSerif-Bold-SC700" w:cs="ATRotisSemiSerif-Bold-SC700"/>
          <w:b/>
          <w:bCs/>
          <w:i/>
          <w:iCs/>
          <w:sz w:val="20"/>
          <w:szCs w:val="20"/>
        </w:rPr>
        <w:t xml:space="preserve">nidad </w:t>
      </w:r>
      <w:r>
        <w:rPr>
          <w:rFonts w:eastAsia="ATRotisSemiSerif-Bold-SC700" w:cs="ATRotisSemiSerif-Bold-SC700"/>
          <w:b/>
          <w:bCs/>
          <w:i/>
          <w:iCs/>
          <w:sz w:val="28"/>
          <w:szCs w:val="28"/>
        </w:rPr>
        <w:t xml:space="preserve">5. </w:t>
      </w:r>
      <w:r>
        <w:rPr>
          <w:rFonts w:eastAsia="ATRotisSemiSerif-Bold-SC700" w:cs="ATRotisSemiSerif-Bold-SC700"/>
        </w:rPr>
        <w:t>Mediaciones Tecnológicas</w:t>
      </w:r>
    </w:p>
    <w:p w:rsidR="0061536D" w:rsidRDefault="0061536D">
      <w:pPr>
        <w:autoSpaceDE w:val="0"/>
        <w:jc w:val="both"/>
        <w:rPr>
          <w:rFonts w:eastAsia="ATRotisSemiSerif-Bold-SC700" w:cs="ATRotisSemiSerif-Bold-SC700"/>
        </w:rPr>
      </w:pPr>
      <w:r>
        <w:rPr>
          <w:rFonts w:eastAsia="ATRotisSemiSerif-Bold-SC700" w:cs="ATRotisSemiSerif-Bold-SC700"/>
        </w:rPr>
        <w:t xml:space="preserve">-Revolución Tecnológica. </w:t>
      </w:r>
      <w:proofErr w:type="spellStart"/>
      <w:r>
        <w:rPr>
          <w:rFonts w:eastAsia="ATRotisSemiSerif-Bold-SC700" w:cs="ATRotisSemiSerif-Bold-SC700"/>
        </w:rPr>
        <w:t>Facebook</w:t>
      </w:r>
      <w:proofErr w:type="spellEnd"/>
      <w:r>
        <w:rPr>
          <w:rFonts w:eastAsia="ATRotisSemiSerif-Bold-SC700" w:cs="ATRotisSemiSerif-Bold-SC700"/>
        </w:rPr>
        <w:t xml:space="preserve">, </w:t>
      </w:r>
      <w:proofErr w:type="spellStart"/>
      <w:r>
        <w:rPr>
          <w:rFonts w:eastAsia="ATRotisSemiSerif-Bold-SC700" w:cs="ATRotisSemiSerif-Bold-SC700"/>
        </w:rPr>
        <w:t>twitter</w:t>
      </w:r>
      <w:proofErr w:type="spellEnd"/>
      <w:r>
        <w:rPr>
          <w:rFonts w:eastAsia="ATRotisSemiSerif-Bold-SC700" w:cs="ATRotisSemiSerif-Bold-SC700"/>
        </w:rPr>
        <w:t>. Política 2.0. Educación y tecnología.</w:t>
      </w:r>
    </w:p>
    <w:p w:rsidR="0061536D" w:rsidRDefault="0061536D">
      <w:pPr>
        <w:autoSpaceDE w:val="0"/>
        <w:jc w:val="both"/>
        <w:rPr>
          <w:rFonts w:eastAsia="ATRotisSemiSerif-Bold-SC700" w:cs="ATRotisSemiSerif-Bold-SC700"/>
        </w:rPr>
      </w:pPr>
      <w:r>
        <w:rPr>
          <w:rFonts w:eastAsia="ATRotisSemiSerif-Bold-SC700" w:cs="ATRotisSemiSerif-Bold-SC700"/>
        </w:rPr>
        <w:t xml:space="preserve">-Nativos e inmigrantes digitales. A </w:t>
      </w:r>
      <w:proofErr w:type="spellStart"/>
      <w:r>
        <w:rPr>
          <w:rFonts w:eastAsia="ATRotisSemiSerif-Bold-SC700" w:cs="ATRotisSemiSerif-Bold-SC700"/>
        </w:rPr>
        <w:t>Piscitelli</w:t>
      </w:r>
      <w:proofErr w:type="spellEnd"/>
      <w:r>
        <w:rPr>
          <w:rFonts w:eastAsia="ATRotisSemiSerif-Bold-SC700" w:cs="ATRotisSemiSerif-Bold-SC700"/>
        </w:rPr>
        <w:t>.</w:t>
      </w:r>
    </w:p>
    <w:p w:rsidR="0061536D" w:rsidRDefault="0061536D">
      <w:pPr>
        <w:autoSpaceDE w:val="0"/>
        <w:jc w:val="both"/>
        <w:rPr>
          <w:rFonts w:eastAsia="ATRotisSemiSerif-Bold-SC700" w:cs="ATRotisSemiSerif-Bold-SC700"/>
        </w:rPr>
      </w:pPr>
      <w:r>
        <w:rPr>
          <w:rFonts w:eastAsia="ATRotisSemiSerif-Bold-SC700" w:cs="ATRotisSemiSerif-Bold-SC700"/>
        </w:rPr>
        <w:t>Nuevos contextos en la comunicación. Cambios acontecidos en los últimos 30 años.</w:t>
      </w:r>
    </w:p>
    <w:p w:rsidR="0061536D" w:rsidRDefault="0061536D">
      <w:pPr>
        <w:autoSpaceDE w:val="0"/>
        <w:jc w:val="both"/>
        <w:rPr>
          <w:rFonts w:eastAsia="ATRotisSemiSerif-Bold-SC700" w:cs="ATRotisSemiSerif-Bold-SC700"/>
          <w:i/>
          <w:iCs/>
        </w:rPr>
      </w:pPr>
    </w:p>
    <w:p w:rsidR="0061536D" w:rsidRDefault="0061536D">
      <w:pPr>
        <w:autoSpaceDE w:val="0"/>
        <w:jc w:val="both"/>
        <w:rPr>
          <w:rFonts w:eastAsia="ATRotisSemiSans" w:cs="ATRotisSemiSans"/>
        </w:rPr>
      </w:pPr>
    </w:p>
    <w:p w:rsidR="0061536D" w:rsidRDefault="0061536D">
      <w:pPr>
        <w:autoSpaceDE w:val="0"/>
        <w:jc w:val="both"/>
        <w:rPr>
          <w:rFonts w:eastAsia="ATRotisSemiSans" w:cs="ATRotisSemiSans"/>
          <w:b/>
          <w:bCs/>
        </w:rPr>
      </w:pPr>
      <w:r>
        <w:rPr>
          <w:rFonts w:eastAsia="ATRotisSemiSans" w:cs="ATRotisSemiSans"/>
          <w:b/>
          <w:bCs/>
        </w:rPr>
        <w:t xml:space="preserve">Criterios de Evaluación: </w:t>
      </w:r>
    </w:p>
    <w:p w:rsidR="0061536D" w:rsidRDefault="0061536D">
      <w:pPr>
        <w:autoSpaceDE w:val="0"/>
        <w:jc w:val="both"/>
        <w:rPr>
          <w:rFonts w:eastAsia="ATRotisSemiSans" w:cs="ATRotisSemiSans"/>
        </w:rPr>
      </w:pPr>
    </w:p>
    <w:p w:rsidR="0061536D" w:rsidRDefault="0061536D">
      <w:pPr>
        <w:autoSpaceDE w:val="0"/>
        <w:jc w:val="both"/>
        <w:rPr>
          <w:rFonts w:eastAsia="ATRotisSemiSans" w:cs="ATRotisSemiSans"/>
        </w:rPr>
      </w:pPr>
      <w:r>
        <w:rPr>
          <w:rFonts w:eastAsia="ATRotisSemiSans" w:cs="ATRotisSemiSans"/>
        </w:rPr>
        <w:t xml:space="preserve">La evaluación de la materia se desarrollará a lo largo de todo el año en el marco del acompañamiento, la escucha y el diálogo entre estudiantes-docente, y estudiantes entre sí. Se analizara la responsabilidad de los alumnos y su participación </w:t>
      </w:r>
      <w:r w:rsidR="00955D63">
        <w:rPr>
          <w:rFonts w:eastAsia="ATRotisSemiSans" w:cs="ATRotisSemiSans"/>
        </w:rPr>
        <w:t>en la clase. A su vez se tomará</w:t>
      </w:r>
      <w:r>
        <w:rPr>
          <w:rFonts w:eastAsia="ATRotisSemiSans" w:cs="ATRotisSemiSans"/>
        </w:rPr>
        <w:t>n</w:t>
      </w:r>
      <w:r w:rsidR="00820401">
        <w:rPr>
          <w:rFonts w:eastAsia="ATRotisSemiSans" w:cs="ATRotisSemiSans"/>
        </w:rPr>
        <w:t xml:space="preserve"> </w:t>
      </w:r>
      <w:r>
        <w:rPr>
          <w:rFonts w:eastAsia="ATRotisSemiSans" w:cs="ATRotisSemiSans"/>
        </w:rPr>
        <w:t>evaluaciones es</w:t>
      </w:r>
      <w:r w:rsidR="00955D63">
        <w:rPr>
          <w:rFonts w:eastAsia="ATRotisSemiSans" w:cs="ATRotisSemiSans"/>
        </w:rPr>
        <w:t>critas trimestrales que abordará</w:t>
      </w:r>
      <w:r>
        <w:rPr>
          <w:rFonts w:eastAsia="ATRotisSemiSans" w:cs="ATRotisSemiSans"/>
        </w:rPr>
        <w:t>n tanto los temas de las fotocopias entregadas, como los marcos conceptuales desarrollados durante la clase y su relación con las películas vistas en el transcurso del trimestre.</w:t>
      </w:r>
      <w:r w:rsidR="00820401">
        <w:rPr>
          <w:rFonts w:eastAsia="ATRotisSemiSans" w:cs="ATRotisSemiSans"/>
        </w:rPr>
        <w:t xml:space="preserve"> La investigación que los grupos realizan durante cada trimestre es observada como proceso y como resultado </w:t>
      </w:r>
      <w:r w:rsidR="00955D63">
        <w:rPr>
          <w:rFonts w:eastAsia="ATRotisSemiSans" w:cs="ATRotisSemiSans"/>
        </w:rPr>
        <w:t>final siendo muy importante a la</w:t>
      </w:r>
      <w:r w:rsidR="00820401">
        <w:rPr>
          <w:rFonts w:eastAsia="ATRotisSemiSans" w:cs="ATRotisSemiSans"/>
        </w:rPr>
        <w:t xml:space="preserve"> hora de evaluar tanto el trabajo grupal como el individual.</w:t>
      </w:r>
    </w:p>
    <w:p w:rsidR="0061536D" w:rsidRDefault="0061536D" w:rsidP="00955D63">
      <w:pPr>
        <w:autoSpaceDE w:val="0"/>
        <w:jc w:val="right"/>
        <w:rPr>
          <w:rFonts w:eastAsia="ATRotisSemiSans" w:cs="ATRotisSemiSans"/>
        </w:rPr>
      </w:pPr>
      <w:r>
        <w:rPr>
          <w:rFonts w:eastAsia="ATRotisSemiSans" w:cs="ATRotisSemiSans"/>
        </w:rPr>
        <w:t>Lic</w:t>
      </w:r>
      <w:r w:rsidR="00817CB3">
        <w:rPr>
          <w:rFonts w:eastAsia="ATRotisSemiSans" w:cs="ATRotisSemiSans"/>
        </w:rPr>
        <w:t>.</w:t>
      </w:r>
      <w:r>
        <w:rPr>
          <w:rFonts w:eastAsia="ATRotisSemiSans" w:cs="ATRotisSemiSans"/>
        </w:rPr>
        <w:t xml:space="preserve"> Juan Emilio </w:t>
      </w:r>
      <w:proofErr w:type="spellStart"/>
      <w:r>
        <w:rPr>
          <w:rFonts w:eastAsia="ATRotisSemiSans" w:cs="ATRotisSemiSans"/>
        </w:rPr>
        <w:t>Satorre</w:t>
      </w:r>
      <w:proofErr w:type="spellEnd"/>
    </w:p>
    <w:p w:rsidR="0061536D" w:rsidRDefault="0061536D">
      <w:pPr>
        <w:autoSpaceDE w:val="0"/>
        <w:rPr>
          <w:rFonts w:eastAsia="ATRotisSemiSans" w:cs="ATRotisSemiSans"/>
        </w:rPr>
      </w:pPr>
    </w:p>
    <w:sectPr w:rsidR="0061536D">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TRotisSemiSans">
    <w:altName w:val="Arial"/>
    <w:charset w:val="00"/>
    <w:family w:val="swiss"/>
    <w:pitch w:val="default"/>
    <w:sig w:usb0="00000000" w:usb1="00000000" w:usb2="00000000" w:usb3="00000000" w:csb0="00000000" w:csb1="00000000"/>
  </w:font>
  <w:font w:name="ATRotisSemiSerif-Bold-SC700">
    <w:altName w:val="Times New Roman"/>
    <w:charset w:val="00"/>
    <w:family w:val="roman"/>
    <w:pitch w:val="default"/>
    <w:sig w:usb0="00000000" w:usb1="00000000" w:usb2="00000000" w:usb3="00000000" w:csb0="00000000" w:csb1="00000000"/>
  </w:font>
  <w:font w:name="ATRotisSemiSans-Italic">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20401"/>
    <w:rsid w:val="000746E1"/>
    <w:rsid w:val="0061536D"/>
    <w:rsid w:val="00817CB3"/>
    <w:rsid w:val="00820401"/>
    <w:rsid w:val="00955D63"/>
    <w:rsid w:val="00B95C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Vietas">
    <w:name w:val="Viñetas"/>
    <w:rPr>
      <w:rFonts w:ascii="OpenSymbol" w:eastAsia="OpenSymbol" w:hAnsi="OpenSymbol" w:cs="OpenSymbol"/>
    </w:rPr>
  </w:style>
  <w:style w:type="character" w:customStyle="1" w:styleId="Smbolodenotaalpie">
    <w:name w:val="Símbolo de nota al pie"/>
  </w:style>
  <w:style w:type="character" w:styleId="Refdenotaalpie">
    <w:name w:val="footnote reference"/>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Textonotapie">
    <w:name w:val="footnote text"/>
    <w:basedOn w:val="Normal"/>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satorre</dc:creator>
  <cp:lastModifiedBy>SECUNDARIA</cp:lastModifiedBy>
  <cp:revision>3</cp:revision>
  <cp:lastPrinted>2012-05-23T12:42:00Z</cp:lastPrinted>
  <dcterms:created xsi:type="dcterms:W3CDTF">2017-05-23T14:13:00Z</dcterms:created>
  <dcterms:modified xsi:type="dcterms:W3CDTF">2017-05-23T14:14:00Z</dcterms:modified>
</cp:coreProperties>
</file>