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A" w:rsidRDefault="009F43DC">
      <w:pPr>
        <w:pStyle w:val="normal0"/>
        <w:spacing w:after="0"/>
        <w:ind w:left="-284" w:right="-285"/>
        <w:jc w:val="center"/>
        <w:rPr>
          <w:b/>
          <w:u w:val="single"/>
        </w:rPr>
      </w:pPr>
      <w:r>
        <w:rPr>
          <w:b/>
          <w:u w:val="single"/>
        </w:rPr>
        <w:t>PROGRAMA DE CONSTRUCCIÓN DE CIUDADANÍA PARA 2° AÑO “A” y “B” – COLEGIO SAN LADISLAO</w:t>
      </w:r>
    </w:p>
    <w:p w:rsidR="0016782A" w:rsidRDefault="0016782A">
      <w:pPr>
        <w:pStyle w:val="normal0"/>
        <w:spacing w:after="0"/>
        <w:jc w:val="both"/>
        <w:rPr>
          <w:b/>
          <w:u w:val="single"/>
        </w:rPr>
      </w:pPr>
    </w:p>
    <w:p w:rsidR="0016782A" w:rsidRDefault="009F43DC">
      <w:pPr>
        <w:pStyle w:val="normal0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FUNDAMENTACIÓN</w:t>
      </w:r>
    </w:p>
    <w:p w:rsidR="0016782A" w:rsidRDefault="0016782A">
      <w:pPr>
        <w:pStyle w:val="normal0"/>
        <w:spacing w:after="0"/>
        <w:jc w:val="both"/>
        <w:rPr>
          <w:b/>
          <w:sz w:val="28"/>
          <w:szCs w:val="28"/>
          <w:u w:val="single"/>
        </w:rPr>
      </w:pPr>
    </w:p>
    <w:p w:rsidR="0016782A" w:rsidRDefault="009F43DC">
      <w:pPr>
        <w:pStyle w:val="normal0"/>
        <w:spacing w:after="0"/>
        <w:ind w:firstLine="709"/>
        <w:jc w:val="both"/>
      </w:pPr>
      <w:r>
        <w:t>Construcción de Ciudadanía apela a una visión de la juventud y la adolescencia como sujetos con capacidad de poder y como portadores de derechos. Esta visión supone avanzar en la constitución de sujetos autónomos que realicen lecturas críticas de los conte</w:t>
      </w:r>
      <w:r>
        <w:t>xtos en que están inmersos, que establezcan lazos de solidaridad, que pretendan el cumplimiento de derechos y responsabilidades, y a los que se les ofrezcan saberes que las generaciones anteriores han desarrollado.</w:t>
      </w:r>
    </w:p>
    <w:p w:rsidR="0016782A" w:rsidRDefault="009F43DC">
      <w:pPr>
        <w:pStyle w:val="normal0"/>
        <w:spacing w:after="0"/>
        <w:ind w:firstLine="709"/>
        <w:jc w:val="both"/>
      </w:pPr>
      <w:r>
        <w:t xml:space="preserve">En este sentido se plantea el desarrollo </w:t>
      </w:r>
      <w:r>
        <w:t xml:space="preserve">del aprendizaje de una ciudadanía activa solo es posible a través de una enseñanza con ejercicio de ciudadanía activa. Esto implica una enseñanza desde las prácticas sociales cotidianas. </w:t>
      </w:r>
    </w:p>
    <w:p w:rsidR="0016782A" w:rsidRDefault="0016782A">
      <w:pPr>
        <w:pStyle w:val="normal0"/>
        <w:spacing w:after="0"/>
        <w:ind w:firstLine="709"/>
        <w:jc w:val="both"/>
      </w:pPr>
    </w:p>
    <w:p w:rsidR="0016782A" w:rsidRDefault="009F43DC">
      <w:pPr>
        <w:pStyle w:val="normal0"/>
        <w:spacing w:after="0"/>
        <w:ind w:firstLine="709"/>
        <w:jc w:val="both"/>
        <w:rPr>
          <w:b/>
          <w:sz w:val="28"/>
          <w:szCs w:val="28"/>
        </w:rPr>
      </w:pPr>
      <w:r>
        <w:t>La materia se organiza a partir del trabajo con contenidos seleccio</w:t>
      </w:r>
      <w:r>
        <w:t>nados y construidos en la interacción entre los docentes de Construcción de Ciudadanía y con docentes de otraS asignaturas en el marco de la implementación en conjunto de la Ley de Educación Sexual Integral. A su vez se ponen en debate y se someten a elecc</w:t>
      </w:r>
      <w:r>
        <w:t>ión algunos contenidos por parte de los estudiantes. Se realiza la elaboración de proyectos surgidos del análisis y la inscripción de las ideas, las prácticas y saberes de los estudiantes en ámbitos del contexto socio-cultural.</w:t>
      </w:r>
    </w:p>
    <w:p w:rsidR="0016782A" w:rsidRDefault="0016782A">
      <w:pPr>
        <w:pStyle w:val="normal0"/>
        <w:spacing w:after="0"/>
        <w:jc w:val="both"/>
        <w:rPr>
          <w:b/>
          <w:sz w:val="28"/>
          <w:szCs w:val="28"/>
          <w:u w:val="single"/>
        </w:rPr>
      </w:pPr>
    </w:p>
    <w:p w:rsidR="0016782A" w:rsidRDefault="009F43DC">
      <w:pPr>
        <w:pStyle w:val="normal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CONTENIDOS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</w:pPr>
      <w:r>
        <w:t xml:space="preserve">Los contenidos </w:t>
      </w:r>
      <w:r>
        <w:t>del presente programa surgen del acuerdo y elecciones por parte de los estudiantes, así como también la guía del docente. Se propone construir conceptos generales, propios de la asignatura, a partir de estas problemáticas particulares.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UNIDAD 1: Ser ciud</w:t>
      </w:r>
      <w:r>
        <w:rPr>
          <w:b/>
        </w:rPr>
        <w:t>adano (marzo-abril)</w:t>
      </w:r>
    </w:p>
    <w:p w:rsidR="0016782A" w:rsidRDefault="009F43DC">
      <w:pPr>
        <w:pStyle w:val="normal0"/>
        <w:spacing w:after="0"/>
        <w:jc w:val="both"/>
      </w:pPr>
      <w:r>
        <w:t>El concepto de ciudadanía. El ciudadano en sentido amplio y en sentido estricto.</w:t>
      </w:r>
    </w:p>
    <w:p w:rsidR="0016782A" w:rsidRDefault="009F43DC">
      <w:pPr>
        <w:pStyle w:val="normal0"/>
        <w:spacing w:after="0"/>
        <w:jc w:val="both"/>
      </w:pPr>
      <w:r>
        <w:t>Noción de derecho. Derechos humanos y sus características. Clasificación de derechos.</w:t>
      </w:r>
    </w:p>
    <w:p w:rsidR="0016782A" w:rsidRDefault="009F43DC">
      <w:pPr>
        <w:pStyle w:val="normal0"/>
        <w:spacing w:after="0"/>
        <w:jc w:val="both"/>
      </w:pPr>
      <w:r>
        <w:t>Responsabilidad y obligaciones del ciudadano. Concepto y tipos de nor</w:t>
      </w:r>
      <w:r>
        <w:t>mas: jurídicas, sociales y morales.</w:t>
      </w:r>
    </w:p>
    <w:p w:rsidR="0016782A" w:rsidRDefault="009F43DC">
      <w:pPr>
        <w:pStyle w:val="normal0"/>
        <w:spacing w:after="0"/>
        <w:jc w:val="both"/>
      </w:pPr>
      <w:r>
        <w:t xml:space="preserve">Convivencia en un medio social y cultural. </w:t>
      </w:r>
    </w:p>
    <w:p w:rsidR="0016782A" w:rsidRDefault="009F43DC">
      <w:pPr>
        <w:pStyle w:val="normal0"/>
        <w:spacing w:after="0"/>
        <w:jc w:val="both"/>
      </w:pPr>
      <w:r>
        <w:t xml:space="preserve">Conceptos de Golpe de Estado. Diferencia entre dictadura, y democracia. Experiencias escolares en la última dictadura cívico militar de Argentina. Participación estudiantil de </w:t>
      </w:r>
      <w:r>
        <w:t xml:space="preserve">ayer y de hoy. </w:t>
      </w:r>
    </w:p>
    <w:p w:rsidR="0016782A" w:rsidRDefault="009F43DC">
      <w:pPr>
        <w:pStyle w:val="normal0"/>
        <w:spacing w:after="0"/>
        <w:jc w:val="both"/>
      </w:pPr>
      <w:r>
        <w:t>Consejo Institucional de Convivencia: características, funciones y actores involucrados. Perfil del representante estudiantil. Candidatos, propuestas, y elección.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UNIDAD 2: Educación Sexual Integral (abril-mayo-junio-julio)</w:t>
      </w:r>
    </w:p>
    <w:p w:rsidR="0016782A" w:rsidRDefault="009F43DC">
      <w:pPr>
        <w:pStyle w:val="normal0"/>
        <w:spacing w:after="0"/>
        <w:jc w:val="both"/>
      </w:pPr>
      <w:r>
        <w:t>Ley de Educación Sexual Integral.</w:t>
      </w:r>
    </w:p>
    <w:p w:rsidR="0016782A" w:rsidRDefault="009F43DC">
      <w:pPr>
        <w:pStyle w:val="normal0"/>
        <w:spacing w:after="0"/>
        <w:jc w:val="both"/>
      </w:pPr>
      <w:r>
        <w:t xml:space="preserve">Concepto de Estereotipo. </w:t>
      </w:r>
    </w:p>
    <w:p w:rsidR="0016782A" w:rsidRDefault="009F43DC">
      <w:pPr>
        <w:pStyle w:val="normal0"/>
        <w:spacing w:after="0"/>
        <w:jc w:val="both"/>
      </w:pPr>
      <w:r>
        <w:t>Estereotipos de género. Lo femenino y lo masculino. Violencia de género. Representaciones hegemónicas de la masculinidad: fuerza, violencia.</w:t>
      </w:r>
    </w:p>
    <w:p w:rsidR="0016782A" w:rsidRDefault="009F43DC">
      <w:pPr>
        <w:pStyle w:val="normal0"/>
        <w:spacing w:after="0"/>
        <w:jc w:val="both"/>
      </w:pPr>
      <w:r>
        <w:t>Prejuicios sobre el cuerpo. Estereotipos relacionados a</w:t>
      </w:r>
      <w:r>
        <w:t xml:space="preserve">l género. Relación con trastornos alimentarios y entorno sociocultural, campañas publicitarias, entre otros. </w:t>
      </w:r>
    </w:p>
    <w:p w:rsidR="0016782A" w:rsidRDefault="009F43DC">
      <w:pPr>
        <w:pStyle w:val="normal0"/>
        <w:spacing w:after="0"/>
        <w:jc w:val="both"/>
      </w:pPr>
      <w:r>
        <w:t xml:space="preserve">Sexualidad como construcción cultural y social. Orientación y preferencias sexuales. Comunidad LGBTIQ.  </w:t>
      </w:r>
    </w:p>
    <w:p w:rsidR="0016782A" w:rsidRDefault="009F43DC">
      <w:pPr>
        <w:pStyle w:val="normal0"/>
        <w:spacing w:after="0"/>
        <w:jc w:val="center"/>
        <w:rPr>
          <w:b/>
          <w:i/>
        </w:rPr>
      </w:pPr>
      <w:bookmarkStart w:id="0" w:name="_gjdgxs" w:colFirst="0" w:colLast="0"/>
      <w:bookmarkEnd w:id="0"/>
      <w:r>
        <w:rPr>
          <w:b/>
          <w:i/>
        </w:rPr>
        <w:t xml:space="preserve">Jornada ESI: 12 de junio 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UNIDAD 3: Demo</w:t>
      </w:r>
      <w:r>
        <w:rPr>
          <w:b/>
        </w:rPr>
        <w:t>cracia y medios de comunicación (agosto-septiembre)</w:t>
      </w:r>
    </w:p>
    <w:p w:rsidR="0016782A" w:rsidRDefault="009F43DC">
      <w:pPr>
        <w:pStyle w:val="normal0"/>
        <w:spacing w:after="0"/>
        <w:jc w:val="both"/>
      </w:pPr>
      <w:r>
        <w:t>Estado y gobierno. Los tres poderes en funcionamiento. El sistema democrático.</w:t>
      </w:r>
    </w:p>
    <w:p w:rsidR="0016782A" w:rsidRDefault="009F43DC">
      <w:pPr>
        <w:pStyle w:val="normal0"/>
        <w:spacing w:after="0"/>
        <w:jc w:val="both"/>
      </w:pPr>
      <w:r>
        <w:t>El voto y las elecciones. El voto juvenil. Luchas de para adquirir derechos de ciudadanía. Rol de los jóvenes en diversas eta</w:t>
      </w:r>
      <w:r>
        <w:t>pas de la historia política argentina. La conquista del voto femenino en el mundo y en Argentina.</w:t>
      </w:r>
    </w:p>
    <w:p w:rsidR="0016782A" w:rsidRDefault="009F43DC">
      <w:pPr>
        <w:pStyle w:val="normal0"/>
        <w:spacing w:after="0"/>
        <w:jc w:val="both"/>
      </w:pPr>
      <w:r>
        <w:t>¿Qué dicen los medios? Análisis, discusión, comparación. Rol de los medios de comunicación en política o vida privada.</w:t>
      </w:r>
    </w:p>
    <w:p w:rsidR="0016782A" w:rsidRDefault="009F43DC">
      <w:pPr>
        <w:pStyle w:val="normal0"/>
        <w:spacing w:after="0"/>
        <w:jc w:val="both"/>
      </w:pPr>
      <w:r>
        <w:t>Redes Sociales. Información. El uso res</w:t>
      </w:r>
      <w:r>
        <w:t>ponsable de las redes sociales. El contenido de los “acuerdos de confidencialidad”. El derecho de habeas data y la información.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UNIDAD 4: (octubre -noviembre)</w:t>
      </w:r>
    </w:p>
    <w:p w:rsidR="0016782A" w:rsidRDefault="009F43DC">
      <w:pPr>
        <w:pStyle w:val="normal0"/>
        <w:spacing w:after="0"/>
        <w:jc w:val="both"/>
      </w:pPr>
      <w:r>
        <w:t>A elegir por estudiantes entre las siguientes opciones:</w:t>
      </w:r>
    </w:p>
    <w:p w:rsidR="0016782A" w:rsidRDefault="009F43DC">
      <w:pPr>
        <w:pStyle w:val="normal0"/>
        <w:spacing w:after="0"/>
        <w:jc w:val="both"/>
      </w:pPr>
      <w:r>
        <w:t>-Discapacidad. Modelos sociales de disca</w:t>
      </w:r>
      <w:r>
        <w:t>pacidad. Ley de discapacidad. Derechos y inclusión.</w:t>
      </w:r>
    </w:p>
    <w:p w:rsidR="0016782A" w:rsidRDefault="009F43DC">
      <w:pPr>
        <w:pStyle w:val="normal0"/>
        <w:spacing w:after="0"/>
        <w:jc w:val="both"/>
      </w:pPr>
      <w:r>
        <w:t>-Medio ambiente. Contaminación. Causas, consecuencias. Conflicto ambiental zonal. Construyendo el mapa del conflicto ambiental.</w:t>
      </w:r>
    </w:p>
    <w:p w:rsidR="0016782A" w:rsidRDefault="009F43DC">
      <w:pPr>
        <w:pStyle w:val="normal0"/>
        <w:spacing w:after="0"/>
        <w:jc w:val="both"/>
      </w:pPr>
      <w:r>
        <w:t>-Ser adolescente hoy. Grupo de pares, y relaciones amorosas y de noviazgo.</w:t>
      </w:r>
    </w:p>
    <w:p w:rsidR="0016782A" w:rsidRDefault="009F43DC">
      <w:pPr>
        <w:pStyle w:val="normal0"/>
        <w:spacing w:after="0"/>
        <w:jc w:val="both"/>
      </w:pPr>
      <w:r>
        <w:t>C</w:t>
      </w:r>
      <w:r>
        <w:t>arácter heterogéneo de ser joven. Enfrentamiento entre grupos de jóvenes y bullying.</w:t>
      </w:r>
    </w:p>
    <w:p w:rsidR="0016782A" w:rsidRDefault="009F43DC">
      <w:pPr>
        <w:pStyle w:val="normal0"/>
        <w:spacing w:after="0"/>
        <w:jc w:val="both"/>
      </w:pPr>
      <w:r>
        <w:t>-Trabajo. Derecho al trabajo y normativa. Nuevas reglas del juego en el mundo laboral. Trayectorias laborales: diferentes concepciones del trabajo y buen trabajador. Los j</w:t>
      </w:r>
      <w:r>
        <w:t>óvenes y el acceso al trabajo: dificultades y estrategias.</w:t>
      </w: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EXPECTATIVAS DE LOGRO:</w:t>
      </w:r>
    </w:p>
    <w:p w:rsidR="0016782A" w:rsidRDefault="0016782A">
      <w:pPr>
        <w:pStyle w:val="normal0"/>
        <w:spacing w:after="0"/>
        <w:jc w:val="both"/>
        <w:rPr>
          <w:b/>
          <w:sz w:val="28"/>
          <w:szCs w:val="28"/>
          <w:u w:val="single"/>
        </w:rPr>
      </w:pPr>
    </w:p>
    <w:p w:rsidR="0016782A" w:rsidRDefault="009F43DC">
      <w:pPr>
        <w:pStyle w:val="normal0"/>
        <w:spacing w:after="0"/>
        <w:jc w:val="both"/>
        <w:rPr>
          <w:b/>
        </w:rPr>
      </w:pPr>
      <w:r>
        <w:rPr>
          <w:b/>
        </w:rPr>
        <w:t>Que los estudiantes logren:</w:t>
      </w:r>
    </w:p>
    <w:p w:rsidR="0016782A" w:rsidRDefault="009F43DC">
      <w:pPr>
        <w:pStyle w:val="normal0"/>
        <w:spacing w:after="0"/>
        <w:jc w:val="both"/>
      </w:pPr>
      <w:r>
        <w:t>-Contextualizar los temas trabajados realizando un análisis crítico.</w:t>
      </w:r>
    </w:p>
    <w:p w:rsidR="0016782A" w:rsidRDefault="009F43DC">
      <w:pPr>
        <w:pStyle w:val="normal0"/>
        <w:spacing w:after="0"/>
        <w:jc w:val="both"/>
      </w:pPr>
      <w:r>
        <w:t>-Organizar la búsqueda y el análisis de la información necesaria para el análisis de los contenidos.</w:t>
      </w:r>
    </w:p>
    <w:p w:rsidR="0016782A" w:rsidRDefault="009F43DC">
      <w:pPr>
        <w:pStyle w:val="normal0"/>
        <w:spacing w:after="0"/>
        <w:jc w:val="both"/>
      </w:pPr>
      <w:r>
        <w:t>-Elaborar estrategias de comunicación de los resultados de los conocimientos por ellos generados.</w:t>
      </w:r>
    </w:p>
    <w:p w:rsidR="0016782A" w:rsidRDefault="009F43DC">
      <w:pPr>
        <w:pStyle w:val="normal0"/>
        <w:spacing w:after="0"/>
        <w:jc w:val="both"/>
      </w:pPr>
      <w:r>
        <w:t>- Asumir la condición ciudadana de los sujetos como un poder hacer, que les permita intervenir efectivamente en el contexto sociocultural y las relaciones sociales.</w:t>
      </w:r>
    </w:p>
    <w:p w:rsidR="0016782A" w:rsidRDefault="009F43DC">
      <w:pPr>
        <w:pStyle w:val="normal0"/>
        <w:spacing w:after="0"/>
        <w:jc w:val="both"/>
      </w:pPr>
      <w:r>
        <w:lastRenderedPageBreak/>
        <w:t xml:space="preserve">-Visualizar, describir, analizar y explicar las posiciones diferenciales de los sujetos en </w:t>
      </w:r>
      <w:r>
        <w:t>cada contexto (de clase, género, generación, etnia, etc.), dando cuenta de las relaciones sociales que se establecen.</w:t>
      </w:r>
    </w:p>
    <w:p w:rsidR="0016782A" w:rsidRDefault="009F43DC">
      <w:pPr>
        <w:pStyle w:val="normal0"/>
        <w:spacing w:after="0"/>
        <w:jc w:val="both"/>
      </w:pPr>
      <w:r>
        <w:t>- Identificar los discursos y prácticas prejuiciosas y accionar para que no se reproduzcan los estereotipos y/o estigmas que circulan en n</w:t>
      </w:r>
      <w:r>
        <w:t>uestra sociedad.</w:t>
      </w:r>
    </w:p>
    <w:p w:rsidR="0016782A" w:rsidRDefault="009F43DC">
      <w:pPr>
        <w:pStyle w:val="normal0"/>
        <w:spacing w:after="0"/>
        <w:jc w:val="both"/>
      </w:pPr>
      <w:r>
        <w:t>- Comprender las distintas formas de agrupaciones sociales dentro de las cuales las personas llevan adelante su experiencia de vida.</w:t>
      </w:r>
    </w:p>
    <w:p w:rsidR="0016782A" w:rsidRDefault="009F43DC">
      <w:pPr>
        <w:pStyle w:val="normal0"/>
        <w:spacing w:after="0"/>
        <w:jc w:val="both"/>
      </w:pPr>
      <w:r>
        <w:t>- Conocer la relación existente entre sociedad y poder.</w:t>
      </w:r>
    </w:p>
    <w:p w:rsidR="0016782A" w:rsidRDefault="009F43DC">
      <w:pPr>
        <w:pStyle w:val="normal0"/>
        <w:spacing w:after="0"/>
        <w:jc w:val="both"/>
      </w:pPr>
      <w:r>
        <w:t>- Valorar las manifestaciones multiculturales e in</w:t>
      </w:r>
      <w:r>
        <w:t>terculturales</w:t>
      </w:r>
    </w:p>
    <w:p w:rsidR="0016782A" w:rsidRDefault="009F43DC">
      <w:pPr>
        <w:pStyle w:val="normal0"/>
        <w:spacing w:after="0"/>
        <w:jc w:val="both"/>
      </w:pPr>
      <w:r>
        <w:t>- Estimular la continua participación cooperativa en el grupo de pares.</w:t>
      </w:r>
    </w:p>
    <w:p w:rsidR="0016782A" w:rsidRDefault="009F43DC">
      <w:pPr>
        <w:pStyle w:val="normal0"/>
        <w:spacing w:after="0"/>
        <w:jc w:val="both"/>
      </w:pPr>
      <w:r>
        <w:t>- Conocer las políticas promovidas por Estados y naciones como intérpretes de los intereses comunes de la ciudadanía.</w:t>
      </w:r>
    </w:p>
    <w:p w:rsidR="0016782A" w:rsidRDefault="0016782A">
      <w:pPr>
        <w:pStyle w:val="normal0"/>
        <w:spacing w:after="0"/>
        <w:jc w:val="both"/>
      </w:pPr>
    </w:p>
    <w:p w:rsidR="0016782A" w:rsidRDefault="009F43DC">
      <w:pPr>
        <w:pStyle w:val="normal0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EVALUACIÓN</w:t>
      </w:r>
    </w:p>
    <w:p w:rsidR="0016782A" w:rsidRDefault="009F43DC">
      <w:pPr>
        <w:pStyle w:val="normal0"/>
        <w:spacing w:after="0"/>
        <w:ind w:firstLine="709"/>
        <w:jc w:val="both"/>
      </w:pPr>
      <w:r>
        <w:t>Se propone un sistema de evaluación clas</w:t>
      </w:r>
      <w:r>
        <w:t>e a clase, que, si bien contemple en fecha anticipadas oportunamente a los alumnos evaluaciones de los temas específicos, se tenga en cuenta el desempeño a lo largo de las clases con igual peso en la nota trimestral correspondiente. Se hará especial énfasi</w:t>
      </w:r>
      <w:r>
        <w:t>s en trabajos y debates colectivos que fortalezcan, con aportes de los estudiantes, el encuadre teórico de la asignatura y fomenten la problematización de las distintas temáticas a abordar.</w:t>
      </w:r>
    </w:p>
    <w:p w:rsidR="0016782A" w:rsidRDefault="009F43DC">
      <w:pPr>
        <w:pStyle w:val="normal0"/>
        <w:spacing w:after="0"/>
        <w:ind w:firstLine="709"/>
        <w:jc w:val="both"/>
      </w:pPr>
      <w:r>
        <w:t xml:space="preserve">Se utilizarán evaluaciones de carácter individual, oral, trabajos </w:t>
      </w:r>
      <w:r>
        <w:t>prácticos grupales e individuales. A estas calificaciones se añade la calificación desempeño que incluye la consideración sobre disposición en la clase, si el alumno cuenta con los materiales en cada encuentro, comportamiento y atención a las normas dentro</w:t>
      </w:r>
      <w:r>
        <w:t xml:space="preserve"> del aula especificadas en los Acuerdos de Convivencia del Colegio. </w:t>
      </w:r>
    </w:p>
    <w:p w:rsidR="0016782A" w:rsidRDefault="009F43DC">
      <w:pPr>
        <w:pStyle w:val="normal0"/>
        <w:spacing w:after="0"/>
        <w:ind w:firstLine="709"/>
        <w:jc w:val="both"/>
      </w:pPr>
      <w:r>
        <w:t>Para la promoción de esta materia es obligatoria la presentación continua cuando el docente lo especifique de la carpeta y materiales de clase, indispensables para el estudio de la asigna</w:t>
      </w:r>
      <w:r>
        <w:t>tura, de forma completa y organizada según se trabajará en ello a lo largo de todas las clases.</w:t>
      </w:r>
    </w:p>
    <w:p w:rsidR="0016782A" w:rsidRDefault="0016782A">
      <w:pPr>
        <w:pStyle w:val="normal0"/>
        <w:spacing w:after="0"/>
        <w:jc w:val="both"/>
      </w:pPr>
    </w:p>
    <w:p w:rsidR="0016782A" w:rsidRDefault="009F43DC">
      <w:pPr>
        <w:pStyle w:val="normal0"/>
        <w:spacing w:after="0"/>
        <w:jc w:val="both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BIBLIOGRAFÍA</w:t>
      </w:r>
    </w:p>
    <w:p w:rsidR="0016782A" w:rsidRDefault="009F43DC">
      <w:pPr>
        <w:pStyle w:val="normal0"/>
        <w:spacing w:after="0"/>
        <w:ind w:firstLine="709"/>
        <w:jc w:val="both"/>
      </w:pPr>
      <w:r>
        <w:t>Se entregarán copias y material adicional que refuercen y complementen el contenido del libro tanto en forma de guías de ejercicios prácticos com</w:t>
      </w:r>
      <w:r>
        <w:t xml:space="preserve">o guías teóricas. </w:t>
      </w:r>
    </w:p>
    <w:p w:rsidR="0016782A" w:rsidRDefault="009F43DC">
      <w:pPr>
        <w:pStyle w:val="normal0"/>
        <w:spacing w:after="0"/>
        <w:ind w:firstLine="709"/>
        <w:jc w:val="both"/>
      </w:pPr>
      <w:r>
        <w:t xml:space="preserve"> </w:t>
      </w:r>
    </w:p>
    <w:p w:rsidR="0016782A" w:rsidRDefault="0016782A">
      <w:pPr>
        <w:pStyle w:val="normal0"/>
        <w:spacing w:after="0"/>
        <w:jc w:val="both"/>
      </w:pPr>
    </w:p>
    <w:p w:rsidR="0016782A" w:rsidRDefault="0016782A">
      <w:pPr>
        <w:pStyle w:val="normal0"/>
        <w:spacing w:after="0"/>
        <w:jc w:val="both"/>
      </w:pPr>
    </w:p>
    <w:p w:rsidR="0016782A" w:rsidRDefault="0016782A">
      <w:pPr>
        <w:pStyle w:val="normal0"/>
        <w:spacing w:after="0"/>
        <w:jc w:val="both"/>
        <w:rPr>
          <w:b/>
        </w:rPr>
      </w:pPr>
    </w:p>
    <w:p w:rsidR="0016782A" w:rsidRDefault="0016782A">
      <w:pPr>
        <w:pStyle w:val="normal0"/>
        <w:spacing w:after="0"/>
        <w:jc w:val="both"/>
      </w:pPr>
    </w:p>
    <w:p w:rsidR="0016782A" w:rsidRDefault="0016782A">
      <w:pPr>
        <w:pStyle w:val="normal0"/>
        <w:spacing w:after="0"/>
      </w:pPr>
    </w:p>
    <w:p w:rsidR="0016782A" w:rsidRDefault="0016782A">
      <w:pPr>
        <w:pStyle w:val="normal0"/>
      </w:pPr>
    </w:p>
    <w:sectPr w:rsidR="0016782A" w:rsidSect="0016782A">
      <w:headerReference w:type="default" r:id="rId6"/>
      <w:footerReference w:type="default" r:id="rId7"/>
      <w:pgSz w:w="11906" w:h="16838"/>
      <w:pgMar w:top="1985" w:right="1701" w:bottom="1134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DC" w:rsidRDefault="009F43DC" w:rsidP="0016782A">
      <w:pPr>
        <w:spacing w:after="0" w:line="240" w:lineRule="auto"/>
      </w:pPr>
      <w:r>
        <w:separator/>
      </w:r>
    </w:p>
  </w:endnote>
  <w:endnote w:type="continuationSeparator" w:id="1">
    <w:p w:rsidR="009F43DC" w:rsidRDefault="009F43DC" w:rsidP="0016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2A" w:rsidRDefault="001678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F43DC">
      <w:rPr>
        <w:color w:val="000000"/>
      </w:rPr>
      <w:instrText>PAGE</w:instrText>
    </w:r>
    <w:r w:rsidR="00B569A9">
      <w:rPr>
        <w:color w:val="000000"/>
      </w:rPr>
      <w:fldChar w:fldCharType="separate"/>
    </w:r>
    <w:r w:rsidR="00B569A9">
      <w:rPr>
        <w:noProof/>
        <w:color w:val="000000"/>
      </w:rPr>
      <w:t>1</w:t>
    </w:r>
    <w:r>
      <w:rPr>
        <w:color w:val="000000"/>
      </w:rPr>
      <w:fldChar w:fldCharType="end"/>
    </w:r>
  </w:p>
  <w:p w:rsidR="0016782A" w:rsidRDefault="001678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DC" w:rsidRDefault="009F43DC" w:rsidP="0016782A">
      <w:pPr>
        <w:spacing w:after="0" w:line="240" w:lineRule="auto"/>
      </w:pPr>
      <w:r>
        <w:separator/>
      </w:r>
    </w:p>
  </w:footnote>
  <w:footnote w:type="continuationSeparator" w:id="1">
    <w:p w:rsidR="009F43DC" w:rsidRDefault="009F43DC" w:rsidP="0016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2A" w:rsidRDefault="009F43DC">
    <w:pPr>
      <w:pStyle w:val="normal0"/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b/>
        <w:color w:val="595959"/>
        <w:u w:val="single"/>
      </w:rPr>
      <w:t>CURSOS</w:t>
    </w:r>
    <w:r>
      <w:rPr>
        <w:b/>
        <w:color w:val="595959"/>
      </w:rPr>
      <w:t>: 2°A y B</w:t>
    </w: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-64134</wp:posOffset>
          </wp:positionH>
          <wp:positionV relativeFrom="paragraph">
            <wp:posOffset>-29209</wp:posOffset>
          </wp:positionV>
          <wp:extent cx="904174" cy="963025"/>
          <wp:effectExtent l="0" t="0" r="0" b="0"/>
          <wp:wrapSquare wrapText="bothSides" distT="0" distB="0" distL="0" distR="0"/>
          <wp:docPr id="1" name="image1.jpg" descr="descar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arg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174" cy="96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782A" w:rsidRDefault="009F43DC">
    <w:pPr>
      <w:pStyle w:val="normal0"/>
      <w:tabs>
        <w:tab w:val="left" w:pos="7760"/>
      </w:tabs>
      <w:spacing w:after="0"/>
      <w:jc w:val="center"/>
      <w:rPr>
        <w:b/>
        <w:color w:val="595959"/>
      </w:rPr>
    </w:pPr>
    <w:r>
      <w:rPr>
        <w:b/>
        <w:color w:val="595959"/>
        <w:u w:val="single"/>
      </w:rPr>
      <w:t>AÑO</w:t>
    </w:r>
    <w:r>
      <w:rPr>
        <w:color w:val="595959"/>
      </w:rPr>
      <w:t xml:space="preserve">: </w:t>
    </w:r>
    <w:r>
      <w:rPr>
        <w:b/>
        <w:color w:val="595959"/>
      </w:rPr>
      <w:t>2019</w:t>
    </w:r>
  </w:p>
  <w:p w:rsidR="0016782A" w:rsidRDefault="009F43DC">
    <w:pPr>
      <w:pStyle w:val="normal0"/>
      <w:spacing w:after="0"/>
      <w:jc w:val="center"/>
      <w:rPr>
        <w:b/>
        <w:color w:val="595959"/>
      </w:rPr>
    </w:pPr>
    <w:r>
      <w:rPr>
        <w:b/>
        <w:color w:val="595959"/>
        <w:u w:val="single"/>
      </w:rPr>
      <w:t>DOCENTES</w:t>
    </w:r>
    <w:r>
      <w:rPr>
        <w:b/>
        <w:color w:val="595959"/>
      </w:rPr>
      <w:t>: Emilce Pizzo y Tamara Fuld</w:t>
    </w:r>
  </w:p>
  <w:p w:rsidR="0016782A" w:rsidRDefault="009F43D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5160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16782A" w:rsidRDefault="001678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82A"/>
    <w:rsid w:val="0016782A"/>
    <w:rsid w:val="009F43DC"/>
    <w:rsid w:val="00B5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678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678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78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78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78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78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782A"/>
  </w:style>
  <w:style w:type="table" w:customStyle="1" w:styleId="TableNormal">
    <w:name w:val="Table Normal"/>
    <w:rsid w:val="001678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782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678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Vice</cp:lastModifiedBy>
  <cp:revision>2</cp:revision>
  <dcterms:created xsi:type="dcterms:W3CDTF">2019-04-24T14:32:00Z</dcterms:created>
  <dcterms:modified xsi:type="dcterms:W3CDTF">2019-04-24T14:32:00Z</dcterms:modified>
</cp:coreProperties>
</file>