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6" w:rsidRDefault="00770646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 w:rsidRPr="005730ED">
        <w:rPr>
          <w:b/>
          <w:i/>
          <w:sz w:val="40"/>
          <w:szCs w:val="40"/>
          <w:u w:val="single"/>
        </w:rPr>
        <w:t>COLEGIO SAN LADISLAO</w:t>
      </w:r>
    </w:p>
    <w:p w:rsidR="00770646" w:rsidRPr="00944E4A" w:rsidRDefault="00F86D37" w:rsidP="00770646">
      <w:pPr>
        <w:ind w:right="-2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PROGRAMA LITERATURA                          </w:t>
      </w:r>
      <w:bookmarkStart w:id="0" w:name="_GoBack"/>
      <w:bookmarkEnd w:id="0"/>
      <w:r w:rsidR="00770646">
        <w:rPr>
          <w:b/>
          <w:i/>
          <w:sz w:val="28"/>
          <w:szCs w:val="28"/>
          <w:u w:val="single"/>
        </w:rPr>
        <w:t xml:space="preserve">                                             CICLO LECTIVO 201</w:t>
      </w:r>
      <w:r w:rsidR="007C26DF">
        <w:rPr>
          <w:b/>
          <w:i/>
          <w:sz w:val="28"/>
          <w:szCs w:val="28"/>
          <w:u w:val="single"/>
        </w:rPr>
        <w:t>8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Curso: 5ºA – 5°B                                                                                   </w:t>
      </w:r>
      <w:proofErr w:type="spellStart"/>
      <w:r>
        <w:rPr>
          <w:b/>
          <w:i/>
          <w:sz w:val="28"/>
          <w:szCs w:val="28"/>
          <w:u w:val="single"/>
        </w:rPr>
        <w:t>Prof</w:t>
      </w:r>
      <w:proofErr w:type="spellEnd"/>
      <w:r>
        <w:rPr>
          <w:b/>
          <w:i/>
          <w:sz w:val="28"/>
          <w:szCs w:val="28"/>
          <w:u w:val="single"/>
        </w:rPr>
        <w:t>: Mariela Maestro</w:t>
      </w:r>
    </w:p>
    <w:p w:rsidR="00770646" w:rsidRDefault="00770646" w:rsidP="00770646">
      <w:pPr>
        <w:ind w:right="-2"/>
        <w:rPr>
          <w:b/>
          <w:i/>
          <w:sz w:val="28"/>
          <w:szCs w:val="28"/>
          <w:u w:val="single"/>
        </w:rPr>
      </w:pPr>
    </w:p>
    <w:p w:rsidR="00770646" w:rsidRPr="001D7F59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1: ¿QUE ES LA LITERATURA?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procedimientos literarios y los tipos de canon.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Registrar voces en la literatura.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obra literaria y sus procedimientos. El canon literario.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Los distintos tipos de canon. Voces en la literatura.</w:t>
      </w:r>
    </w:p>
    <w:p w:rsidR="00770646" w:rsidRDefault="007C26DF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Problemas para definir la literatura</w:t>
      </w:r>
      <w:r w:rsidR="00770646">
        <w:rPr>
          <w:rFonts w:ascii="Times New Roman" w:eastAsia="Times New Roman" w:hAnsi="Times New Roman" w:cs="Calibri"/>
          <w:lang w:eastAsia="ar-SA"/>
        </w:rPr>
        <w:t>.</w:t>
      </w:r>
    </w:p>
    <w:p w:rsidR="00770646" w:rsidRP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 w:rsidRPr="00770646">
        <w:rPr>
          <w:rFonts w:ascii="Times New Roman" w:eastAsia="Times New Roman" w:hAnsi="Times New Roman" w:cs="Calibri"/>
          <w:b/>
          <w:u w:val="single"/>
          <w:lang w:eastAsia="ar-SA"/>
        </w:rPr>
        <w:t xml:space="preserve">UNIDAD 2: REALISMO Y </w:t>
      </w:r>
      <w:r w:rsidR="00D06539" w:rsidRPr="00770646">
        <w:rPr>
          <w:rFonts w:ascii="Times New Roman" w:eastAsia="Times New Roman" w:hAnsi="Times New Roman" w:cs="Calibri"/>
          <w:b/>
          <w:u w:val="single"/>
          <w:lang w:eastAsia="ar-SA"/>
        </w:rPr>
        <w:t>CRÍTICA</w:t>
      </w:r>
      <w:r w:rsidRPr="00770646">
        <w:rPr>
          <w:rFonts w:ascii="Times New Roman" w:eastAsia="Times New Roman" w:hAnsi="Times New Roman" w:cs="Calibri"/>
          <w:b/>
          <w:u w:val="single"/>
          <w:lang w:eastAsia="ar-SA"/>
        </w:rPr>
        <w:t xml:space="preserve"> SOCIAL</w:t>
      </w:r>
    </w:p>
    <w:p w:rsidR="00770646" w:rsidRPr="00437078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70646" w:rsidRDefault="00D06539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novela picaresca</w:t>
      </w:r>
    </w:p>
    <w:p w:rsidR="00770646" w:rsidRPr="00437078" w:rsidRDefault="00D06539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770646" w:rsidRDefault="00770646" w:rsidP="00770646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Contenidos</w:t>
      </w:r>
    </w:p>
    <w:p w:rsidR="00BF4850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La novela picaresca. Crisis social y realismo literario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Renacimiento. Reforma y Contrarreforma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El hombre y el arte renacentista</w:t>
      </w:r>
    </w:p>
    <w:p w:rsidR="00D06539" w:rsidRDefault="00D06539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Lazarillo de Tormes” (Anónimo)</w:t>
      </w:r>
    </w:p>
    <w:p w:rsidR="007C26DF" w:rsidRDefault="007C26DF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“Campo de fresas” Jordi Sierra i </w:t>
      </w:r>
      <w:proofErr w:type="spellStart"/>
      <w:r>
        <w:rPr>
          <w:rFonts w:ascii="Times New Roman" w:eastAsia="Times New Roman" w:hAnsi="Times New Roman" w:cs="Calibri"/>
          <w:lang w:eastAsia="ar-SA"/>
        </w:rPr>
        <w:t>Fabra</w:t>
      </w:r>
      <w:proofErr w:type="spellEnd"/>
      <w:r>
        <w:rPr>
          <w:rFonts w:ascii="Times New Roman" w:eastAsia="Times New Roman" w:hAnsi="Times New Roman" w:cs="Calibri"/>
          <w:lang w:eastAsia="ar-SA"/>
        </w:rPr>
        <w:t>)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3: EL OTRO EN LA LITERATURA ARGENTINA</w:t>
      </w:r>
    </w:p>
    <w:p w:rsidR="00F55312" w:rsidRPr="00437078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del realismo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</w:t>
      </w:r>
      <w:r w:rsidR="008C55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el contexto histórico y el peronismo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Realismo y naturalismo en la literatura argentina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El matadero: Refundación de la literatura nacional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Fronteras culturales y políticas </w:t>
      </w:r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peronismo y las masas en la vida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publica</w:t>
      </w:r>
      <w:proofErr w:type="gramEnd"/>
    </w:p>
    <w:p w:rsidR="00F55312" w:rsidRDefault="00F5531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matadero” de Esteban Echeverría y “Cabecita negra”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German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Rozenmacher</w:t>
      </w:r>
      <w:proofErr w:type="spellEnd"/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4: EL CRIMEN EN LA LITERATURA ARGENTINA</w:t>
      </w:r>
    </w:p>
    <w:p w:rsidR="008C5500" w:rsidRPr="00437078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Reconocer características </w:t>
      </w:r>
      <w:r w:rsidR="00DF4FF2">
        <w:rPr>
          <w:rFonts w:ascii="Times New Roman" w:eastAsia="Times New Roman" w:hAnsi="Times New Roman" w:cs="Calibri"/>
          <w:sz w:val="24"/>
          <w:szCs w:val="24"/>
          <w:lang w:eastAsia="ar-SA"/>
        </w:rPr>
        <w:t>de la literatura realista dictatorial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en la dictadura</w:t>
      </w:r>
    </w:p>
    <w:p w:rsidR="00DF4FF2" w:rsidRDefault="00DF4FF2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Identificar características de la literatura durante la guerra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malvinas</w:t>
      </w:r>
      <w:proofErr w:type="spellEnd"/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8C5500" w:rsidRPr="008C5500" w:rsidRDefault="008C5500" w:rsidP="008C5500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Ciudad moderna, literatura y policial: 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Evolución y fractura </w:t>
      </w:r>
    </w:p>
    <w:p w:rsidR="008C5500" w:rsidRDefault="008C5500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Como contar la historia. Dictadura argentina.</w:t>
      </w:r>
    </w:p>
    <w:p w:rsidR="00DF4FF2" w:rsidRDefault="007C26DF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“La casa de los conejos” de Laura Alcoba</w:t>
      </w:r>
    </w:p>
    <w:p w:rsidR="007C26DF" w:rsidRDefault="007C26DF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 crimen argentino” de Reynaldo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Sietecase</w:t>
      </w:r>
      <w:proofErr w:type="spellEnd"/>
    </w:p>
    <w:p w:rsidR="007C26DF" w:rsidRDefault="007C26DF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“Elisa, la rosa inesperada” de Liliana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Bodoc</w:t>
      </w:r>
      <w:proofErr w:type="spellEnd"/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F4FF2" w:rsidRPr="00DF4FF2" w:rsidRDefault="00DF4FF2" w:rsidP="00F5531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t>UNIDAD 5</w:t>
      </w:r>
      <w:proofErr w:type="gramStart"/>
      <w:r>
        <w:rPr>
          <w:rFonts w:ascii="Times New Roman" w:eastAsia="Times New Roman" w:hAnsi="Times New Roman" w:cs="Calibri"/>
          <w:b/>
          <w:u w:val="single"/>
          <w:lang w:eastAsia="ar-SA"/>
        </w:rPr>
        <w:t>:  REALISMO</w:t>
      </w:r>
      <w:proofErr w:type="gramEnd"/>
      <w:r>
        <w:rPr>
          <w:rFonts w:ascii="Times New Roman" w:eastAsia="Times New Roman" w:hAnsi="Times New Roman" w:cs="Calibri"/>
          <w:b/>
          <w:u w:val="single"/>
          <w:lang w:eastAsia="ar-SA"/>
        </w:rPr>
        <w:t xml:space="preserve"> MAGICO Y GENERO FANTASTICO</w:t>
      </w:r>
    </w:p>
    <w:p w:rsidR="00DF4FF2" w:rsidRPr="00437078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literatura mágico-realista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Diferenciar realismo mágico de relato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fantastico</w:t>
      </w:r>
      <w:proofErr w:type="spellEnd"/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Caracterizar el contexto histórico latinoamericano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F4F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América Latina. Las nuevas formas de narrar.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El realismo mágico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novela de la revolución mexicana. El boom latinoamericano.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Las condiciones de lo fantástico. Variaciones en torno a lo fantástico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“La hojarasca” Gabriel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Garccia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Marquez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“Pedro Paramo” de Juan Rulfo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“Una flor amarilla” de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“En memoria de Paulina” de Adolfo Bioy Casares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b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u w:val="single"/>
          <w:lang w:eastAsia="ar-SA"/>
        </w:rPr>
        <w:lastRenderedPageBreak/>
        <w:t xml:space="preserve">UNIDAD 6: EL RELATO DE CIENCIA FICCION </w:t>
      </w:r>
    </w:p>
    <w:p w:rsidR="00DF4FF2" w:rsidRPr="00437078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u w:val="single"/>
          <w:lang w:eastAsia="ar-SA"/>
        </w:rPr>
      </w:pPr>
      <w:r w:rsidRPr="00437078">
        <w:rPr>
          <w:rFonts w:ascii="Times New Roman" w:eastAsia="Times New Roman" w:hAnsi="Times New Roman" w:cs="Calibri"/>
          <w:u w:val="single"/>
          <w:lang w:eastAsia="ar-SA"/>
        </w:rPr>
        <w:t>Expectativas de Logro: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7078">
        <w:rPr>
          <w:rFonts w:ascii="Times New Roman" w:eastAsia="Times New Roman" w:hAnsi="Times New Roman" w:cs="Calibri"/>
          <w:sz w:val="24"/>
          <w:szCs w:val="24"/>
          <w:lang w:eastAsia="ar-SA"/>
        </w:rPr>
        <w:t>Leer para comprender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Reconocer características de la ciencia ficción y la ciencia ficción argentina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Diferenciar utopías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distopias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Resolver guías de lectura</w:t>
      </w:r>
    </w:p>
    <w:p w:rsidR="00DF4FF2" w:rsidRDefault="00DF4FF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D06539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Contenidos</w:t>
      </w:r>
    </w:p>
    <w:p w:rsidR="00DF4FF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confianza en el progreso de la humanidad.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El fin de la ilusión. Utopías y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distopias</w:t>
      </w:r>
      <w:proofErr w:type="spellEnd"/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La ciencia ficción en la Argentina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Leopoldo Lugones, pionero de la ciencia ficción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 extraño planeta” de Héctor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Osterheld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“Extrañas fuerzas” Leopoldo Lugones</w:t>
      </w:r>
    </w:p>
    <w:p w:rsidR="005979A2" w:rsidRDefault="007C26DF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“Trescientos millones/La noche boca arriba” de Roberto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Arlt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y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C26DF" w:rsidRDefault="007C26DF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C26DF" w:rsidRDefault="007C26DF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5730ED">
        <w:rPr>
          <w:rFonts w:ascii="Times New Roman" w:eastAsia="Times New Roman" w:hAnsi="Times New Roman" w:cs="Calibri"/>
          <w:b/>
          <w:i/>
          <w:u w:val="single"/>
          <w:lang w:eastAsia="ar-SA"/>
        </w:rPr>
        <w:t>MODALIDADES DE EVALUACÓN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Examen escrito y oral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Trabajos prácticos grupales e individuales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Comprobación de lectura de las obras completas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Presentación del libro de trabajo diario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Tareas realizadas diariamente </w:t>
      </w: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979A2" w:rsidRDefault="005979A2" w:rsidP="005979A2">
      <w:pPr>
        <w:suppressAutoHyphens/>
        <w:spacing w:after="0" w:line="360" w:lineRule="auto"/>
        <w:rPr>
          <w:rFonts w:ascii="Times New Roman" w:eastAsia="Times New Roman" w:hAnsi="Times New Roman" w:cs="Calibri"/>
          <w:b/>
          <w:i/>
          <w:u w:val="single"/>
          <w:lang w:eastAsia="ar-SA"/>
        </w:rPr>
      </w:pPr>
      <w:r w:rsidRPr="009A64D2">
        <w:rPr>
          <w:rFonts w:ascii="Times New Roman" w:eastAsia="Times New Roman" w:hAnsi="Times New Roman" w:cs="Calibri"/>
          <w:b/>
          <w:i/>
          <w:u w:val="single"/>
          <w:lang w:eastAsia="ar-SA"/>
        </w:rPr>
        <w:t>BIBLIOGRAFÍA</w:t>
      </w:r>
    </w:p>
    <w:p w:rsidR="005979A2" w:rsidRDefault="005979A2" w:rsidP="00DF4FF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“El Lazarillo de Tormes” (Anónimo)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 matadero” de Esteban Echeverría y “Cabecita negra” 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German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Rozenmacher</w:t>
      </w:r>
      <w:proofErr w:type="spellEnd"/>
    </w:p>
    <w:p w:rsidR="007C26DF" w:rsidRDefault="007C26DF" w:rsidP="007C26DF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“La casa de los conejos” de Laura Alcoba “Un crimen argentino” de Reynaldo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Sietecase</w:t>
      </w:r>
      <w:proofErr w:type="spellEnd"/>
    </w:p>
    <w:p w:rsidR="007C26DF" w:rsidRDefault="007C26DF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“Elisa, la rosa inesperada” de Liliana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Bodoc</w:t>
      </w:r>
      <w:proofErr w:type="spellEnd"/>
    </w:p>
    <w:p w:rsidR="005979A2" w:rsidRDefault="007C26DF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“La hojarasca” Gabriel </w:t>
      </w:r>
      <w:proofErr w:type="spellStart"/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>Garccia</w:t>
      </w:r>
      <w:proofErr w:type="spellEnd"/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>Marquez</w:t>
      </w:r>
      <w:proofErr w:type="spellEnd"/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>. “Pedro Paramo” de Juan Rulfo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“Una flor amarilla” de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 “En memoria de Paulina” de Adolfo Bioy Casares</w:t>
      </w:r>
    </w:p>
    <w:p w:rsidR="005979A2" w:rsidRDefault="005979A2" w:rsidP="005979A2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“Un extraño planeta” de Héctor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Osterheld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“Extrañas fuerzas” Leopoldo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Lugones</w:t>
      </w:r>
      <w:proofErr w:type="spellEnd"/>
    </w:p>
    <w:p w:rsidR="007C26DF" w:rsidRDefault="007C26DF" w:rsidP="007C26DF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“Trescientos millones/La noche boca arriba” de Roberto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Arlt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y Julio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Cortazar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06539" w:rsidRPr="005979A2" w:rsidRDefault="007C26DF" w:rsidP="00D06539">
      <w:pPr>
        <w:suppressAutoHyphens/>
        <w:snapToGrid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“ </w:t>
      </w:r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Campo de fresas” de Jordi Sierra y </w:t>
      </w:r>
      <w:proofErr w:type="spellStart"/>
      <w:r w:rsidR="005979A2">
        <w:rPr>
          <w:rFonts w:ascii="Times New Roman" w:eastAsia="Times New Roman" w:hAnsi="Times New Roman" w:cs="Calibri"/>
          <w:sz w:val="24"/>
          <w:szCs w:val="24"/>
          <w:lang w:eastAsia="ar-SA"/>
        </w:rPr>
        <w:t>Fabra</w:t>
      </w:r>
      <w:proofErr w:type="spellEnd"/>
    </w:p>
    <w:sectPr w:rsidR="00D06539" w:rsidRPr="005979A2" w:rsidSect="00D06539">
      <w:pgSz w:w="12240" w:h="15840"/>
      <w:pgMar w:top="993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646"/>
    <w:rsid w:val="003D6458"/>
    <w:rsid w:val="005979A2"/>
    <w:rsid w:val="00770646"/>
    <w:rsid w:val="007C26DF"/>
    <w:rsid w:val="008523F9"/>
    <w:rsid w:val="008C5500"/>
    <w:rsid w:val="00BF4850"/>
    <w:rsid w:val="00D06539"/>
    <w:rsid w:val="00DF4FF2"/>
    <w:rsid w:val="00EB3281"/>
    <w:rsid w:val="00F14993"/>
    <w:rsid w:val="00F55312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4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Direccion</cp:lastModifiedBy>
  <cp:revision>2</cp:revision>
  <dcterms:created xsi:type="dcterms:W3CDTF">2018-04-09T19:42:00Z</dcterms:created>
  <dcterms:modified xsi:type="dcterms:W3CDTF">2018-04-09T19:42:00Z</dcterms:modified>
</cp:coreProperties>
</file>